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2783" w:rsidR="00BB0FBA" w:rsidP="00BB0FBA" w:rsidRDefault="00BB0FBA" w14:paraId="3DA2F3E0" w14:textId="77777777">
      <w:pPr>
        <w:pStyle w:val="BodyText"/>
        <w:rPr>
          <w:rFonts w:ascii="Times New Roman"/>
          <w:sz w:val="20"/>
          <w:szCs w:val="20"/>
        </w:rPr>
      </w:pPr>
      <w:bookmarkStart w:name="_Hlk161394118" w:id="0"/>
    </w:p>
    <w:bookmarkEnd w:id="0"/>
    <w:p w:rsidRPr="00832783" w:rsidR="00BB0FBA" w:rsidP="00BB0FBA" w:rsidRDefault="00BB0FBA" w14:paraId="2F729B83" w14:textId="77777777">
      <w:pPr>
        <w:pStyle w:val="BodyText"/>
        <w:rPr>
          <w:rFonts w:ascii="Times New Roman"/>
          <w:sz w:val="20"/>
          <w:szCs w:val="20"/>
        </w:rPr>
      </w:pPr>
    </w:p>
    <w:p w:rsidRPr="00832783" w:rsidR="00BB0FBA" w:rsidP="00BB0FBA" w:rsidRDefault="00BB0FBA" w14:paraId="5AC4C0D6" w14:textId="77777777">
      <w:pPr>
        <w:pStyle w:val="BodyText"/>
        <w:rPr>
          <w:rFonts w:ascii="Times New Roman"/>
          <w:sz w:val="20"/>
          <w:szCs w:val="20"/>
        </w:rPr>
      </w:pPr>
    </w:p>
    <w:p w:rsidRPr="00832783" w:rsidR="00BB0FBA" w:rsidP="00BB0FBA" w:rsidRDefault="00BB0FBA" w14:paraId="4926C030" w14:textId="77777777">
      <w:pPr>
        <w:pStyle w:val="BodyText"/>
        <w:rPr>
          <w:rFonts w:ascii="Times New Roman"/>
          <w:sz w:val="20"/>
          <w:szCs w:val="20"/>
        </w:rPr>
      </w:pPr>
    </w:p>
    <w:p w:rsidRPr="00832783" w:rsidR="00BB0FBA" w:rsidP="00BB0FBA" w:rsidRDefault="00BB0FBA" w14:paraId="6EA7C13C" w14:textId="77777777">
      <w:pPr>
        <w:pStyle w:val="BodyText"/>
        <w:spacing w:before="2"/>
        <w:rPr>
          <w:rFonts w:ascii="Times New Roman"/>
          <w:sz w:val="20"/>
          <w:szCs w:val="20"/>
        </w:rPr>
      </w:pPr>
    </w:p>
    <w:p w:rsidRPr="00E90426" w:rsidR="00BB0FBA" w:rsidP="00E90426" w:rsidRDefault="00E90426" w14:paraId="6CC42545" w14:textId="7D531E70">
      <w:pPr>
        <w:pStyle w:val="Title"/>
        <w:rPr>
          <w:color w:val="004639"/>
          <w:sz w:val="20"/>
          <w:szCs w:val="20"/>
        </w:rPr>
      </w:pPr>
      <w:r w:rsidRPr="00E90426">
        <w:rPr>
          <w:color w:val="004639"/>
          <w:sz w:val="20"/>
          <w:szCs w:val="20"/>
        </w:rPr>
        <w:t xml:space="preserve">GLOBAL TARGET SAVINGS 2031-2034 </w:t>
      </w:r>
      <w:r>
        <w:rPr>
          <w:color w:val="004639"/>
          <w:sz w:val="20"/>
          <w:szCs w:val="20"/>
        </w:rPr>
        <w:t>UCITS ETF</w:t>
      </w:r>
    </w:p>
    <w:p w:rsidRPr="00832783" w:rsidR="00BB0FBA" w:rsidP="00BB0FBA" w:rsidRDefault="00BB0FBA" w14:paraId="3BD6B0D1" w14:textId="77777777">
      <w:pPr>
        <w:pStyle w:val="BodyText"/>
        <w:rPr>
          <w:b/>
          <w:sz w:val="20"/>
          <w:szCs w:val="20"/>
        </w:rPr>
      </w:pPr>
    </w:p>
    <w:p w:rsidRPr="00832783" w:rsidR="00BB0FBA" w:rsidP="00BB0FBA" w:rsidRDefault="00BB0FBA" w14:paraId="364A195E" w14:textId="77777777">
      <w:pPr>
        <w:pStyle w:val="BodyText"/>
        <w:rPr>
          <w:b/>
          <w:sz w:val="20"/>
          <w:szCs w:val="20"/>
        </w:rPr>
      </w:pPr>
    </w:p>
    <w:p w:rsidRPr="00832783" w:rsidR="00BB0FBA" w:rsidP="00BB0FBA" w:rsidRDefault="00BB0FBA" w14:paraId="53BC0403" w14:textId="77777777">
      <w:pPr>
        <w:pStyle w:val="BodyText"/>
        <w:rPr>
          <w:b/>
          <w:sz w:val="20"/>
          <w:szCs w:val="20"/>
        </w:rPr>
      </w:pPr>
    </w:p>
    <w:p w:rsidRPr="00832783" w:rsidR="00BB0FBA" w:rsidP="00BB0FBA" w:rsidRDefault="00BB0FBA" w14:paraId="6EF2D143" w14:textId="77777777">
      <w:pPr>
        <w:pStyle w:val="BodyText"/>
        <w:spacing w:before="2"/>
        <w:rPr>
          <w:b/>
          <w:sz w:val="20"/>
          <w:szCs w:val="20"/>
        </w:rPr>
      </w:pPr>
    </w:p>
    <w:p w:rsidRPr="00832783" w:rsidR="00BB0FBA" w:rsidP="00BB0FBA" w:rsidRDefault="00B34D16" w14:paraId="7452DFF0" w14:textId="03AB6994">
      <w:pPr>
        <w:pStyle w:val="Title"/>
        <w:rPr>
          <w:sz w:val="20"/>
          <w:szCs w:val="20"/>
        </w:rPr>
      </w:pPr>
      <w:r>
        <w:rPr>
          <w:color w:val="004639"/>
          <w:sz w:val="20"/>
          <w:szCs w:val="20"/>
        </w:rPr>
        <w:t>SUPPLEMENT</w:t>
      </w:r>
      <w:r>
        <w:rPr>
          <w:color w:val="004639"/>
          <w:spacing w:val="-8"/>
          <w:sz w:val="20"/>
          <w:szCs w:val="20"/>
        </w:rPr>
        <w:t xml:space="preserve"> </w:t>
      </w:r>
      <w:r>
        <w:rPr>
          <w:color w:val="004639"/>
          <w:sz w:val="20"/>
          <w:szCs w:val="20"/>
        </w:rPr>
        <w:t>DATED</w:t>
      </w:r>
      <w:r>
        <w:rPr>
          <w:color w:val="004639"/>
          <w:spacing w:val="-7"/>
          <w:sz w:val="20"/>
          <w:szCs w:val="20"/>
        </w:rPr>
        <w:t xml:space="preserve"> </w:t>
      </w:r>
      <w:r w:rsidR="00B44A23">
        <w:rPr>
          <w:color w:val="004639"/>
          <w:sz w:val="20"/>
          <w:szCs w:val="20"/>
        </w:rPr>
        <w:t>25 FEBRUARY 2025</w:t>
      </w:r>
    </w:p>
    <w:p w:rsidRPr="00832783" w:rsidR="00BB0FBA" w:rsidP="00BB0FBA" w:rsidRDefault="00BB0FBA" w14:paraId="2A65E9E8" w14:textId="77777777">
      <w:pPr>
        <w:rPr>
          <w:sz w:val="20"/>
          <w:szCs w:val="20"/>
        </w:rPr>
        <w:sectPr w:rsidRPr="00832783" w:rsidR="00BB0FBA" w:rsidSect="00BB0FBA">
          <w:footerReference w:type="default" r:id="rId7"/>
          <w:footerReference w:type="first" r:id="rId8"/>
          <w:type w:val="continuous"/>
          <w:pgSz w:w="11910" w:h="16840"/>
          <w:pgMar w:top="1920" w:right="700" w:bottom="800" w:left="0" w:header="0" w:footer="606" w:gutter="0"/>
          <w:pgNumType w:start="1"/>
          <w:cols w:space="708"/>
        </w:sectPr>
      </w:pPr>
      <w:bookmarkStart w:name="_Hlk161394119" w:id="1"/>
    </w:p>
    <w:bookmarkEnd w:id="1"/>
    <w:p w:rsidR="00BB0FBA" w:rsidP="00E90426" w:rsidRDefault="00E90426" w14:paraId="69DDD950" w14:textId="78C3B2EF">
      <w:pPr>
        <w:ind w:left="1943" w:right="518"/>
        <w:jc w:val="both"/>
        <w:rPr>
          <w:b/>
          <w:sz w:val="20"/>
          <w:szCs w:val="20"/>
        </w:rPr>
      </w:pPr>
      <w:r w:rsidRPr="00E90426">
        <w:rPr>
          <w:b/>
          <w:sz w:val="20"/>
          <w:szCs w:val="20"/>
        </w:rPr>
        <w:lastRenderedPageBreak/>
        <w:t>Global Target Savings 2031-2034 UCITS ETF</w:t>
      </w:r>
    </w:p>
    <w:p w:rsidRPr="00832783" w:rsidR="00E90426" w:rsidP="00BB0FBA" w:rsidRDefault="00E90426" w14:paraId="73F18C39" w14:textId="77777777">
      <w:pPr>
        <w:pStyle w:val="BodyText"/>
        <w:spacing w:before="9"/>
        <w:rPr>
          <w:b/>
          <w:sz w:val="20"/>
          <w:szCs w:val="20"/>
        </w:rPr>
      </w:pPr>
    </w:p>
    <w:p w:rsidRPr="00832783" w:rsidR="00BB0FBA" w:rsidP="00BB0FBA" w:rsidRDefault="00B34D16" w14:paraId="7EE6BCD5" w14:textId="6A88B2A1">
      <w:pPr>
        <w:ind w:left="1943" w:right="518"/>
        <w:jc w:val="both"/>
        <w:rPr>
          <w:b/>
          <w:sz w:val="20"/>
          <w:szCs w:val="20"/>
        </w:rPr>
      </w:pPr>
      <w:r>
        <w:rPr>
          <w:b/>
          <w:sz w:val="20"/>
          <w:szCs w:val="20"/>
        </w:rPr>
        <w:t>This Supplement forms part of and should be read in the context of and in conjunction with the Prospectus for the ICAV dated 15 July 2024 (the "Prospectus").</w:t>
      </w:r>
    </w:p>
    <w:p w:rsidRPr="00832783" w:rsidR="00BB0FBA" w:rsidP="00BB0FBA" w:rsidRDefault="00BB0FBA" w14:paraId="74E7315C" w14:textId="77777777">
      <w:pPr>
        <w:pStyle w:val="BodyText"/>
        <w:spacing w:before="10"/>
        <w:rPr>
          <w:b/>
          <w:sz w:val="20"/>
          <w:szCs w:val="20"/>
        </w:rPr>
      </w:pPr>
    </w:p>
    <w:p w:rsidRPr="00832783" w:rsidR="00BB0FBA" w:rsidP="00BB0FBA" w:rsidRDefault="00B34D16" w14:paraId="645D8B88" w14:textId="77777777">
      <w:pPr>
        <w:pStyle w:val="BodyText"/>
        <w:ind w:left="1944"/>
        <w:jc w:val="both"/>
        <w:rPr>
          <w:sz w:val="20"/>
          <w:szCs w:val="20"/>
        </w:rPr>
      </w:pPr>
      <w:r>
        <w:rPr>
          <w:sz w:val="20"/>
          <w:szCs w:val="20"/>
          <w:u w:val="single"/>
        </w:rPr>
        <w:t>Important</w:t>
      </w:r>
      <w:r>
        <w:rPr>
          <w:spacing w:val="-10"/>
          <w:sz w:val="20"/>
          <w:szCs w:val="20"/>
          <w:u w:val="single"/>
        </w:rPr>
        <w:t xml:space="preserve"> </w:t>
      </w:r>
      <w:r>
        <w:rPr>
          <w:spacing w:val="-2"/>
          <w:sz w:val="20"/>
          <w:szCs w:val="20"/>
          <w:u w:val="single"/>
        </w:rPr>
        <w:t>Information</w:t>
      </w:r>
    </w:p>
    <w:p w:rsidRPr="00832783" w:rsidR="00BB0FBA" w:rsidP="00BB0FBA" w:rsidRDefault="00B34D16" w14:paraId="73BEDD02" w14:textId="06B46B98">
      <w:pPr>
        <w:pStyle w:val="BodyText"/>
        <w:spacing w:before="119"/>
        <w:ind w:left="1943" w:right="518"/>
        <w:jc w:val="both"/>
        <w:rPr>
          <w:sz w:val="20"/>
          <w:szCs w:val="20"/>
        </w:rPr>
      </w:pPr>
      <w:r>
        <w:rPr>
          <w:sz w:val="20"/>
          <w:szCs w:val="20"/>
        </w:rPr>
        <w:t xml:space="preserve">This Supplement contains information relating specifically to </w:t>
      </w:r>
      <w:r w:rsidRPr="00E90426" w:rsidR="00E90426">
        <w:rPr>
          <w:sz w:val="20"/>
          <w:szCs w:val="20"/>
        </w:rPr>
        <w:t>Global Target Savings 2031-2034 UCITS ETF</w:t>
      </w:r>
      <w:r>
        <w:rPr>
          <w:spacing w:val="-6"/>
          <w:sz w:val="20"/>
          <w:szCs w:val="20"/>
        </w:rPr>
        <w:t xml:space="preserve"> </w:t>
      </w:r>
      <w:r>
        <w:rPr>
          <w:sz w:val="20"/>
          <w:szCs w:val="20"/>
        </w:rPr>
        <w:t>(the</w:t>
      </w:r>
      <w:r>
        <w:rPr>
          <w:spacing w:val="-7"/>
          <w:sz w:val="20"/>
          <w:szCs w:val="20"/>
        </w:rPr>
        <w:t xml:space="preserve"> </w:t>
      </w:r>
      <w:r>
        <w:rPr>
          <w:sz w:val="20"/>
          <w:szCs w:val="20"/>
        </w:rPr>
        <w:t>"</w:t>
      </w:r>
      <w:r>
        <w:rPr>
          <w:b/>
          <w:sz w:val="20"/>
          <w:szCs w:val="20"/>
        </w:rPr>
        <w:t>Fund</w:t>
      </w:r>
      <w:r>
        <w:rPr>
          <w:sz w:val="20"/>
          <w:szCs w:val="20"/>
        </w:rPr>
        <w:t>"),</w:t>
      </w:r>
      <w:r>
        <w:rPr>
          <w:spacing w:val="-8"/>
          <w:sz w:val="20"/>
          <w:szCs w:val="20"/>
        </w:rPr>
        <w:t xml:space="preserve"> </w:t>
      </w:r>
      <w:r>
        <w:rPr>
          <w:sz w:val="20"/>
          <w:szCs w:val="20"/>
        </w:rPr>
        <w:t>a</w:t>
      </w:r>
      <w:r>
        <w:rPr>
          <w:spacing w:val="-7"/>
          <w:sz w:val="20"/>
          <w:szCs w:val="20"/>
        </w:rPr>
        <w:t xml:space="preserve"> </w:t>
      </w:r>
      <w:r>
        <w:rPr>
          <w:sz w:val="20"/>
          <w:szCs w:val="20"/>
        </w:rPr>
        <w:t>fund</w:t>
      </w:r>
      <w:r>
        <w:rPr>
          <w:spacing w:val="-7"/>
          <w:sz w:val="20"/>
          <w:szCs w:val="20"/>
        </w:rPr>
        <w:t xml:space="preserve"> </w:t>
      </w:r>
      <w:r>
        <w:rPr>
          <w:sz w:val="20"/>
          <w:szCs w:val="20"/>
        </w:rPr>
        <w:t>of</w:t>
      </w:r>
      <w:r>
        <w:rPr>
          <w:spacing w:val="-6"/>
          <w:sz w:val="20"/>
          <w:szCs w:val="20"/>
        </w:rPr>
        <w:t xml:space="preserve"> </w:t>
      </w:r>
      <w:r>
        <w:rPr>
          <w:sz w:val="20"/>
          <w:szCs w:val="20"/>
        </w:rPr>
        <w:t>Waystone ETF ICAV</w:t>
      </w:r>
      <w:r>
        <w:rPr>
          <w:spacing w:val="-6"/>
          <w:sz w:val="20"/>
          <w:szCs w:val="20"/>
        </w:rPr>
        <w:t xml:space="preserve"> </w:t>
      </w:r>
      <w:r>
        <w:rPr>
          <w:sz w:val="20"/>
          <w:szCs w:val="20"/>
        </w:rPr>
        <w:t>(the</w:t>
      </w:r>
      <w:r>
        <w:rPr>
          <w:spacing w:val="-7"/>
          <w:sz w:val="20"/>
          <w:szCs w:val="20"/>
        </w:rPr>
        <w:t xml:space="preserve"> </w:t>
      </w:r>
      <w:r>
        <w:rPr>
          <w:sz w:val="20"/>
          <w:szCs w:val="20"/>
        </w:rPr>
        <w:t>"</w:t>
      </w:r>
      <w:r>
        <w:rPr>
          <w:b/>
          <w:sz w:val="20"/>
          <w:szCs w:val="20"/>
        </w:rPr>
        <w:t>ICAV</w:t>
      </w:r>
      <w:r>
        <w:rPr>
          <w:sz w:val="20"/>
          <w:szCs w:val="20"/>
        </w:rPr>
        <w:t xml:space="preserve">"), an open-ended umbrella Irish collective asset-management vehicle with segregated liability between sub-funds formed in Ireland under the Irish Collective Asset-management Vehicles Act 2015 and </w:t>
      </w:r>
      <w:proofErr w:type="spellStart"/>
      <w:r>
        <w:rPr>
          <w:sz w:val="20"/>
          <w:szCs w:val="20"/>
        </w:rPr>
        <w:t>authorised</w:t>
      </w:r>
      <w:proofErr w:type="spellEnd"/>
      <w:r>
        <w:rPr>
          <w:sz w:val="20"/>
          <w:szCs w:val="20"/>
        </w:rPr>
        <w:t xml:space="preserve"> by the Central Bank as a UCITS pursuant to the Regulations.</w:t>
      </w:r>
    </w:p>
    <w:p w:rsidRPr="00832783" w:rsidR="00BB0FBA" w:rsidP="00BB0FBA" w:rsidRDefault="00B34D16" w14:paraId="7C31988C" w14:textId="1939BF61">
      <w:pPr>
        <w:pStyle w:val="BodyText"/>
        <w:spacing w:before="118"/>
        <w:ind w:left="1944" w:right="518"/>
        <w:jc w:val="both"/>
        <w:rPr>
          <w:sz w:val="20"/>
          <w:szCs w:val="20"/>
        </w:rPr>
      </w:pPr>
      <w:r>
        <w:rPr>
          <w:sz w:val="20"/>
          <w:szCs w:val="20"/>
        </w:rPr>
        <w:t>The ICAV has additional Funds in existence, details of which are set out in Annex A to the</w:t>
      </w:r>
      <w:r>
        <w:rPr>
          <w:spacing w:val="-12"/>
          <w:sz w:val="20"/>
          <w:szCs w:val="20"/>
        </w:rPr>
        <w:t xml:space="preserve"> </w:t>
      </w:r>
      <w:r>
        <w:rPr>
          <w:sz w:val="20"/>
          <w:szCs w:val="20"/>
        </w:rPr>
        <w:t>Prospectus.</w:t>
      </w:r>
      <w:r>
        <w:rPr>
          <w:spacing w:val="-15"/>
          <w:sz w:val="20"/>
          <w:szCs w:val="20"/>
        </w:rPr>
        <w:t xml:space="preserve"> </w:t>
      </w:r>
      <w:r>
        <w:rPr>
          <w:sz w:val="20"/>
          <w:szCs w:val="20"/>
        </w:rPr>
        <w:t>Additional</w:t>
      </w:r>
      <w:r>
        <w:rPr>
          <w:spacing w:val="-12"/>
          <w:sz w:val="20"/>
          <w:szCs w:val="20"/>
        </w:rPr>
        <w:t xml:space="preserve"> </w:t>
      </w:r>
      <w:r>
        <w:rPr>
          <w:sz w:val="20"/>
          <w:szCs w:val="20"/>
        </w:rPr>
        <w:t>Funds</w:t>
      </w:r>
      <w:r>
        <w:rPr>
          <w:spacing w:val="-12"/>
          <w:sz w:val="20"/>
          <w:szCs w:val="20"/>
        </w:rPr>
        <w:t xml:space="preserve"> </w:t>
      </w:r>
      <w:r>
        <w:rPr>
          <w:sz w:val="20"/>
          <w:szCs w:val="20"/>
        </w:rPr>
        <w:t>of</w:t>
      </w:r>
      <w:r>
        <w:rPr>
          <w:spacing w:val="-11"/>
          <w:sz w:val="20"/>
          <w:szCs w:val="20"/>
        </w:rPr>
        <w:t xml:space="preserve"> </w:t>
      </w:r>
      <w:r>
        <w:rPr>
          <w:sz w:val="20"/>
          <w:szCs w:val="20"/>
        </w:rPr>
        <w:t>the</w:t>
      </w:r>
      <w:r>
        <w:rPr>
          <w:spacing w:val="-12"/>
          <w:sz w:val="20"/>
          <w:szCs w:val="20"/>
        </w:rPr>
        <w:t xml:space="preserve"> </w:t>
      </w:r>
      <w:r>
        <w:rPr>
          <w:sz w:val="20"/>
          <w:szCs w:val="20"/>
        </w:rPr>
        <w:t>ICAV</w:t>
      </w:r>
      <w:r>
        <w:rPr>
          <w:spacing w:val="-14"/>
          <w:sz w:val="20"/>
          <w:szCs w:val="20"/>
        </w:rPr>
        <w:t xml:space="preserve"> </w:t>
      </w:r>
      <w:r>
        <w:rPr>
          <w:sz w:val="20"/>
          <w:szCs w:val="20"/>
        </w:rPr>
        <w:t>may</w:t>
      </w:r>
      <w:r>
        <w:rPr>
          <w:spacing w:val="-14"/>
          <w:sz w:val="20"/>
          <w:szCs w:val="20"/>
        </w:rPr>
        <w:t xml:space="preserve"> </w:t>
      </w:r>
      <w:r>
        <w:rPr>
          <w:sz w:val="20"/>
          <w:szCs w:val="20"/>
        </w:rPr>
        <w:t>be</w:t>
      </w:r>
      <w:r>
        <w:rPr>
          <w:spacing w:val="-12"/>
          <w:sz w:val="20"/>
          <w:szCs w:val="20"/>
        </w:rPr>
        <w:t xml:space="preserve"> </w:t>
      </w:r>
      <w:r>
        <w:rPr>
          <w:sz w:val="20"/>
          <w:szCs w:val="20"/>
        </w:rPr>
        <w:t>added</w:t>
      </w:r>
      <w:r>
        <w:rPr>
          <w:spacing w:val="-12"/>
          <w:sz w:val="20"/>
          <w:szCs w:val="20"/>
        </w:rPr>
        <w:t xml:space="preserve"> </w:t>
      </w:r>
      <w:r>
        <w:rPr>
          <w:sz w:val="20"/>
          <w:szCs w:val="20"/>
        </w:rPr>
        <w:t>in</w:t>
      </w:r>
      <w:r>
        <w:rPr>
          <w:spacing w:val="-12"/>
          <w:sz w:val="20"/>
          <w:szCs w:val="20"/>
        </w:rPr>
        <w:t xml:space="preserve"> </w:t>
      </w:r>
      <w:r>
        <w:rPr>
          <w:sz w:val="20"/>
          <w:szCs w:val="20"/>
        </w:rPr>
        <w:t>the</w:t>
      </w:r>
      <w:r>
        <w:rPr>
          <w:spacing w:val="-12"/>
          <w:sz w:val="20"/>
          <w:szCs w:val="20"/>
        </w:rPr>
        <w:t xml:space="preserve"> </w:t>
      </w:r>
      <w:r>
        <w:rPr>
          <w:sz w:val="20"/>
          <w:szCs w:val="20"/>
        </w:rPr>
        <w:t>future</w:t>
      </w:r>
      <w:r>
        <w:rPr>
          <w:spacing w:val="-12"/>
          <w:sz w:val="20"/>
          <w:szCs w:val="20"/>
        </w:rPr>
        <w:t xml:space="preserve"> </w:t>
      </w:r>
      <w:r>
        <w:rPr>
          <w:sz w:val="20"/>
          <w:szCs w:val="20"/>
        </w:rPr>
        <w:t>with</w:t>
      </w:r>
      <w:r>
        <w:rPr>
          <w:spacing w:val="-12"/>
          <w:sz w:val="20"/>
          <w:szCs w:val="20"/>
        </w:rPr>
        <w:t xml:space="preserve"> </w:t>
      </w:r>
      <w:r>
        <w:rPr>
          <w:sz w:val="20"/>
          <w:szCs w:val="20"/>
        </w:rPr>
        <w:t>the</w:t>
      </w:r>
      <w:r>
        <w:rPr>
          <w:spacing w:val="-12"/>
          <w:sz w:val="20"/>
          <w:szCs w:val="20"/>
        </w:rPr>
        <w:t xml:space="preserve"> </w:t>
      </w:r>
      <w:r>
        <w:rPr>
          <w:sz w:val="20"/>
          <w:szCs w:val="20"/>
        </w:rPr>
        <w:t>prior</w:t>
      </w:r>
      <w:r>
        <w:rPr>
          <w:spacing w:val="-13"/>
          <w:sz w:val="20"/>
          <w:szCs w:val="20"/>
        </w:rPr>
        <w:t xml:space="preserve"> </w:t>
      </w:r>
      <w:r>
        <w:rPr>
          <w:sz w:val="20"/>
          <w:szCs w:val="20"/>
        </w:rPr>
        <w:t>approval of the Central Bank. The</w:t>
      </w:r>
      <w:r>
        <w:rPr>
          <w:spacing w:val="-2"/>
          <w:sz w:val="20"/>
          <w:szCs w:val="20"/>
        </w:rPr>
        <w:t xml:space="preserve"> </w:t>
      </w:r>
      <w:r>
        <w:rPr>
          <w:sz w:val="20"/>
          <w:szCs w:val="20"/>
        </w:rPr>
        <w:t>Directors</w:t>
      </w:r>
      <w:r>
        <w:rPr>
          <w:spacing w:val="-2"/>
          <w:sz w:val="20"/>
          <w:szCs w:val="20"/>
        </w:rPr>
        <w:t xml:space="preserve"> </w:t>
      </w:r>
      <w:r>
        <w:rPr>
          <w:sz w:val="20"/>
          <w:szCs w:val="20"/>
        </w:rPr>
        <w:t>of</w:t>
      </w:r>
      <w:r>
        <w:rPr>
          <w:spacing w:val="-1"/>
          <w:sz w:val="20"/>
          <w:szCs w:val="20"/>
        </w:rPr>
        <w:t xml:space="preserve"> </w:t>
      </w:r>
      <w:r>
        <w:rPr>
          <w:sz w:val="20"/>
          <w:szCs w:val="20"/>
        </w:rPr>
        <w:t>the</w:t>
      </w:r>
      <w:r>
        <w:rPr>
          <w:spacing w:val="-2"/>
          <w:sz w:val="20"/>
          <w:szCs w:val="20"/>
        </w:rPr>
        <w:t xml:space="preserve"> </w:t>
      </w:r>
      <w:r>
        <w:rPr>
          <w:sz w:val="20"/>
          <w:szCs w:val="20"/>
        </w:rPr>
        <w:t>ICAV,</w:t>
      </w:r>
      <w:r>
        <w:rPr>
          <w:spacing w:val="-6"/>
          <w:sz w:val="20"/>
          <w:szCs w:val="20"/>
        </w:rPr>
        <w:t xml:space="preserve"> </w:t>
      </w:r>
      <w:r>
        <w:rPr>
          <w:sz w:val="20"/>
          <w:szCs w:val="20"/>
        </w:rPr>
        <w:t>whose</w:t>
      </w:r>
      <w:r>
        <w:rPr>
          <w:spacing w:val="-2"/>
          <w:sz w:val="20"/>
          <w:szCs w:val="20"/>
        </w:rPr>
        <w:t xml:space="preserve"> </w:t>
      </w:r>
      <w:r>
        <w:rPr>
          <w:sz w:val="20"/>
          <w:szCs w:val="20"/>
        </w:rPr>
        <w:t>names</w:t>
      </w:r>
      <w:r>
        <w:rPr>
          <w:spacing w:val="-2"/>
          <w:sz w:val="20"/>
          <w:szCs w:val="20"/>
        </w:rPr>
        <w:t xml:space="preserve"> </w:t>
      </w:r>
      <w:r>
        <w:rPr>
          <w:sz w:val="20"/>
          <w:szCs w:val="20"/>
        </w:rPr>
        <w:t>appear</w:t>
      </w:r>
      <w:r>
        <w:rPr>
          <w:spacing w:val="-3"/>
          <w:sz w:val="20"/>
          <w:szCs w:val="20"/>
        </w:rPr>
        <w:t xml:space="preserve"> </w:t>
      </w:r>
      <w:r>
        <w:rPr>
          <w:sz w:val="20"/>
          <w:szCs w:val="20"/>
        </w:rPr>
        <w:t>in</w:t>
      </w:r>
      <w:r>
        <w:rPr>
          <w:spacing w:val="-2"/>
          <w:sz w:val="20"/>
          <w:szCs w:val="20"/>
        </w:rPr>
        <w:t xml:space="preserve"> </w:t>
      </w:r>
      <w:r>
        <w:rPr>
          <w:sz w:val="20"/>
          <w:szCs w:val="20"/>
        </w:rPr>
        <w:t>the</w:t>
      </w:r>
      <w:r>
        <w:rPr>
          <w:spacing w:val="-2"/>
          <w:sz w:val="20"/>
          <w:szCs w:val="20"/>
        </w:rPr>
        <w:t xml:space="preserve"> </w:t>
      </w:r>
      <w:r>
        <w:rPr>
          <w:sz w:val="20"/>
          <w:szCs w:val="20"/>
        </w:rPr>
        <w:t>"Management</w:t>
      </w:r>
      <w:r>
        <w:rPr>
          <w:spacing w:val="-3"/>
          <w:sz w:val="20"/>
          <w:szCs w:val="20"/>
        </w:rPr>
        <w:t xml:space="preserve"> </w:t>
      </w:r>
      <w:r>
        <w:rPr>
          <w:sz w:val="20"/>
          <w:szCs w:val="20"/>
        </w:rPr>
        <w:t>of</w:t>
      </w:r>
      <w:r>
        <w:rPr>
          <w:spacing w:val="-1"/>
          <w:sz w:val="20"/>
          <w:szCs w:val="20"/>
        </w:rPr>
        <w:t xml:space="preserve"> </w:t>
      </w:r>
      <w:r>
        <w:rPr>
          <w:sz w:val="20"/>
          <w:szCs w:val="20"/>
        </w:rPr>
        <w:t>the</w:t>
      </w:r>
      <w:r>
        <w:rPr>
          <w:spacing w:val="-2"/>
          <w:sz w:val="20"/>
          <w:szCs w:val="20"/>
        </w:rPr>
        <w:t xml:space="preserve"> </w:t>
      </w:r>
      <w:r>
        <w:rPr>
          <w:sz w:val="20"/>
          <w:szCs w:val="20"/>
        </w:rPr>
        <w:t>ICAV</w:t>
      </w:r>
      <w:r>
        <w:rPr>
          <w:spacing w:val="-1"/>
          <w:sz w:val="20"/>
          <w:szCs w:val="20"/>
        </w:rPr>
        <w:t xml:space="preserve"> </w:t>
      </w:r>
      <w:r>
        <w:rPr>
          <w:sz w:val="20"/>
          <w:szCs w:val="20"/>
        </w:rPr>
        <w:t>–</w:t>
      </w:r>
      <w:r>
        <w:rPr>
          <w:spacing w:val="-3"/>
          <w:sz w:val="20"/>
          <w:szCs w:val="20"/>
        </w:rPr>
        <w:t xml:space="preserve"> </w:t>
      </w:r>
      <w:r>
        <w:rPr>
          <w:sz w:val="20"/>
          <w:szCs w:val="20"/>
        </w:rPr>
        <w:t>Directors" section</w:t>
      </w:r>
      <w:r>
        <w:rPr>
          <w:spacing w:val="-9"/>
          <w:sz w:val="20"/>
          <w:szCs w:val="20"/>
        </w:rPr>
        <w:t xml:space="preserve"> </w:t>
      </w:r>
      <w:r>
        <w:rPr>
          <w:sz w:val="20"/>
          <w:szCs w:val="20"/>
        </w:rPr>
        <w:t>of</w:t>
      </w:r>
      <w:r>
        <w:rPr>
          <w:spacing w:val="-8"/>
          <w:sz w:val="20"/>
          <w:szCs w:val="20"/>
        </w:rPr>
        <w:t xml:space="preserve"> </w:t>
      </w:r>
      <w:r>
        <w:rPr>
          <w:sz w:val="20"/>
          <w:szCs w:val="20"/>
        </w:rPr>
        <w:t>the</w:t>
      </w:r>
      <w:r>
        <w:rPr>
          <w:spacing w:val="-9"/>
          <w:sz w:val="20"/>
          <w:szCs w:val="20"/>
        </w:rPr>
        <w:t xml:space="preserve"> </w:t>
      </w:r>
      <w:r>
        <w:rPr>
          <w:sz w:val="20"/>
          <w:szCs w:val="20"/>
        </w:rPr>
        <w:t>Prospectus,</w:t>
      </w:r>
      <w:r>
        <w:rPr>
          <w:spacing w:val="-10"/>
          <w:sz w:val="20"/>
          <w:szCs w:val="20"/>
        </w:rPr>
        <w:t xml:space="preserve"> </w:t>
      </w:r>
      <w:r>
        <w:rPr>
          <w:sz w:val="20"/>
          <w:szCs w:val="20"/>
        </w:rPr>
        <w:t>accept</w:t>
      </w:r>
      <w:r>
        <w:rPr>
          <w:spacing w:val="-11"/>
          <w:sz w:val="20"/>
          <w:szCs w:val="20"/>
        </w:rPr>
        <w:t xml:space="preserve"> </w:t>
      </w:r>
      <w:r>
        <w:rPr>
          <w:sz w:val="20"/>
          <w:szCs w:val="20"/>
        </w:rPr>
        <w:t>responsibility</w:t>
      </w:r>
      <w:r>
        <w:rPr>
          <w:spacing w:val="-12"/>
          <w:sz w:val="20"/>
          <w:szCs w:val="20"/>
        </w:rPr>
        <w:t xml:space="preserve"> </w:t>
      </w:r>
      <w:r>
        <w:rPr>
          <w:sz w:val="20"/>
          <w:szCs w:val="20"/>
        </w:rPr>
        <w:t>for</w:t>
      </w:r>
      <w:r>
        <w:rPr>
          <w:spacing w:val="-10"/>
          <w:sz w:val="20"/>
          <w:szCs w:val="20"/>
        </w:rPr>
        <w:t xml:space="preserve"> </w:t>
      </w:r>
      <w:r>
        <w:rPr>
          <w:sz w:val="20"/>
          <w:szCs w:val="20"/>
        </w:rPr>
        <w:t>the</w:t>
      </w:r>
      <w:r>
        <w:rPr>
          <w:spacing w:val="-9"/>
          <w:sz w:val="20"/>
          <w:szCs w:val="20"/>
        </w:rPr>
        <w:t xml:space="preserve"> </w:t>
      </w:r>
      <w:r>
        <w:rPr>
          <w:sz w:val="20"/>
          <w:szCs w:val="20"/>
        </w:rPr>
        <w:t>information</w:t>
      </w:r>
      <w:r>
        <w:rPr>
          <w:spacing w:val="-9"/>
          <w:sz w:val="20"/>
          <w:szCs w:val="20"/>
        </w:rPr>
        <w:t xml:space="preserve"> </w:t>
      </w:r>
      <w:r>
        <w:rPr>
          <w:sz w:val="20"/>
          <w:szCs w:val="20"/>
        </w:rPr>
        <w:t>contained</w:t>
      </w:r>
      <w:r>
        <w:rPr>
          <w:spacing w:val="-12"/>
          <w:sz w:val="20"/>
          <w:szCs w:val="20"/>
        </w:rPr>
        <w:t xml:space="preserve"> </w:t>
      </w:r>
      <w:r>
        <w:rPr>
          <w:sz w:val="20"/>
          <w:szCs w:val="20"/>
        </w:rPr>
        <w:t>in</w:t>
      </w:r>
      <w:r>
        <w:rPr>
          <w:spacing w:val="-12"/>
          <w:sz w:val="20"/>
          <w:szCs w:val="20"/>
        </w:rPr>
        <w:t xml:space="preserve"> </w:t>
      </w:r>
      <w:r>
        <w:rPr>
          <w:sz w:val="20"/>
          <w:szCs w:val="20"/>
        </w:rPr>
        <w:t>the</w:t>
      </w:r>
      <w:r>
        <w:rPr>
          <w:spacing w:val="-9"/>
          <w:sz w:val="20"/>
          <w:szCs w:val="20"/>
        </w:rPr>
        <w:t xml:space="preserve"> </w:t>
      </w:r>
      <w:r>
        <w:rPr>
          <w:sz w:val="20"/>
          <w:szCs w:val="20"/>
        </w:rPr>
        <w:t>Prospectus, this Supplement.</w:t>
      </w:r>
      <w:r>
        <w:rPr>
          <w:spacing w:val="-1"/>
          <w:sz w:val="20"/>
          <w:szCs w:val="20"/>
        </w:rPr>
        <w:t xml:space="preserve"> </w:t>
      </w:r>
      <w:r>
        <w:rPr>
          <w:sz w:val="20"/>
          <w:szCs w:val="20"/>
        </w:rPr>
        <w:t>To the best</w:t>
      </w:r>
      <w:r>
        <w:rPr>
          <w:spacing w:val="-1"/>
          <w:sz w:val="20"/>
          <w:szCs w:val="20"/>
        </w:rPr>
        <w:t xml:space="preserve"> </w:t>
      </w:r>
      <w:r>
        <w:rPr>
          <w:sz w:val="20"/>
          <w:szCs w:val="20"/>
        </w:rPr>
        <w:t>of the</w:t>
      </w:r>
      <w:r>
        <w:rPr>
          <w:spacing w:val="-2"/>
          <w:sz w:val="20"/>
          <w:szCs w:val="20"/>
        </w:rPr>
        <w:t xml:space="preserve"> </w:t>
      </w:r>
      <w:r>
        <w:rPr>
          <w:sz w:val="20"/>
          <w:szCs w:val="20"/>
        </w:rPr>
        <w:t>knowledge and belief of the Directors (who have taken all reasonable care to ensure that such is the case), the information contained in this Prospectus is in accordance with the facts and does not in the Directors' judgment omit anything likely to materially affect the import of such information. The Directors accept responsibility accordingly.</w:t>
      </w:r>
    </w:p>
    <w:p w:rsidRPr="00832783" w:rsidR="00BB0FBA" w:rsidP="00BB0FBA" w:rsidRDefault="00B34D16" w14:paraId="15B638C2" w14:textId="77777777">
      <w:pPr>
        <w:pStyle w:val="BodyText"/>
        <w:spacing w:before="122"/>
        <w:ind w:left="1944" w:right="519"/>
        <w:jc w:val="both"/>
        <w:rPr>
          <w:sz w:val="20"/>
          <w:szCs w:val="20"/>
        </w:rPr>
      </w:pPr>
      <w:r>
        <w:rPr>
          <w:sz w:val="20"/>
          <w:szCs w:val="20"/>
        </w:rPr>
        <w:t>The Fund has been classified under Article 6 of the Sustainable Finance Disclosure Regulation (Regulation EU/2019/2088) as amended ("</w:t>
      </w:r>
      <w:r>
        <w:rPr>
          <w:b/>
          <w:sz w:val="20"/>
          <w:szCs w:val="20"/>
        </w:rPr>
        <w:t>SFDR</w:t>
      </w:r>
      <w:r>
        <w:rPr>
          <w:sz w:val="20"/>
          <w:szCs w:val="20"/>
        </w:rPr>
        <w:t xml:space="preserve">"). </w:t>
      </w:r>
    </w:p>
    <w:p w:rsidRPr="00832783" w:rsidR="00BB0FBA" w:rsidP="00BB0FBA" w:rsidRDefault="00B34D16" w14:paraId="0AAC34BC" w14:textId="77777777">
      <w:pPr>
        <w:pStyle w:val="BodyText"/>
        <w:spacing w:before="119"/>
        <w:ind w:left="1944" w:right="521"/>
        <w:jc w:val="both"/>
        <w:rPr>
          <w:sz w:val="20"/>
          <w:szCs w:val="20"/>
        </w:rPr>
      </w:pPr>
      <w:r>
        <w:rPr>
          <w:sz w:val="20"/>
          <w:szCs w:val="20"/>
        </w:rPr>
        <w:t>As the price of Shares in the Fund may fall as well as rise, the Fund shall not be a suitable investment for an investor who cannot sustain a loss on their investment.</w:t>
      </w:r>
    </w:p>
    <w:p w:rsidRPr="00832783" w:rsidR="00BB0FBA" w:rsidP="00BB0FBA" w:rsidRDefault="00B34D16" w14:paraId="0B6FC400" w14:textId="77777777">
      <w:pPr>
        <w:pStyle w:val="BodyText"/>
        <w:spacing w:before="121"/>
        <w:ind w:left="1944" w:right="522"/>
        <w:jc w:val="both"/>
        <w:rPr>
          <w:sz w:val="20"/>
          <w:szCs w:val="20"/>
        </w:rPr>
      </w:pPr>
      <w:r>
        <w:rPr>
          <w:sz w:val="20"/>
          <w:szCs w:val="20"/>
        </w:rPr>
        <w:t>This is not a guide to the future volatility of the Fund and may move over time. Investors may also refer to the KIID for the most up-to-date SRRI measurement.</w:t>
      </w:r>
    </w:p>
    <w:p w:rsidRPr="00832783" w:rsidR="00BB0FBA" w:rsidP="00BB0FBA" w:rsidRDefault="00B34D16" w14:paraId="59BEF436" w14:textId="77777777">
      <w:pPr>
        <w:pStyle w:val="BodyText"/>
        <w:spacing w:before="122"/>
        <w:ind w:left="1944" w:right="519"/>
        <w:jc w:val="both"/>
        <w:rPr>
          <w:sz w:val="20"/>
          <w:szCs w:val="20"/>
        </w:rPr>
      </w:pPr>
      <w:r>
        <w:rPr>
          <w:sz w:val="20"/>
          <w:szCs w:val="20"/>
        </w:rPr>
        <w:t>Investors should read and consider Appendix III to the Prospectus (entitled "Risk Factors") before investing in the Fund.</w:t>
      </w:r>
    </w:p>
    <w:p w:rsidR="00BB0FBA" w:rsidP="00BB0FBA" w:rsidRDefault="00B34D16" w14:paraId="0DABAF03" w14:textId="77777777">
      <w:pPr>
        <w:pStyle w:val="BodyText"/>
        <w:spacing w:before="118"/>
        <w:ind w:left="1944"/>
        <w:jc w:val="both"/>
        <w:rPr>
          <w:spacing w:val="-2"/>
          <w:sz w:val="20"/>
          <w:szCs w:val="20"/>
          <w:u w:val="single"/>
        </w:rPr>
      </w:pPr>
      <w:r>
        <w:rPr>
          <w:sz w:val="20"/>
          <w:szCs w:val="20"/>
          <w:u w:val="single"/>
        </w:rPr>
        <w:t>Profile</w:t>
      </w:r>
      <w:r>
        <w:rPr>
          <w:spacing w:val="-4"/>
          <w:sz w:val="20"/>
          <w:szCs w:val="20"/>
          <w:u w:val="single"/>
        </w:rPr>
        <w:t xml:space="preserve"> </w:t>
      </w:r>
      <w:r>
        <w:rPr>
          <w:sz w:val="20"/>
          <w:szCs w:val="20"/>
          <w:u w:val="single"/>
        </w:rPr>
        <w:t>of</w:t>
      </w:r>
      <w:r>
        <w:rPr>
          <w:spacing w:val="-3"/>
          <w:sz w:val="20"/>
          <w:szCs w:val="20"/>
          <w:u w:val="single"/>
        </w:rPr>
        <w:t xml:space="preserve"> </w:t>
      </w:r>
      <w:r>
        <w:rPr>
          <w:sz w:val="20"/>
          <w:szCs w:val="20"/>
          <w:u w:val="single"/>
        </w:rPr>
        <w:t>a</w:t>
      </w:r>
      <w:r>
        <w:rPr>
          <w:spacing w:val="-4"/>
          <w:sz w:val="20"/>
          <w:szCs w:val="20"/>
          <w:u w:val="single"/>
        </w:rPr>
        <w:t xml:space="preserve"> </w:t>
      </w:r>
      <w:r>
        <w:rPr>
          <w:sz w:val="20"/>
          <w:szCs w:val="20"/>
          <w:u w:val="single"/>
        </w:rPr>
        <w:t>Typical</w:t>
      </w:r>
      <w:r>
        <w:rPr>
          <w:spacing w:val="-5"/>
          <w:sz w:val="20"/>
          <w:szCs w:val="20"/>
          <w:u w:val="single"/>
        </w:rPr>
        <w:t xml:space="preserve"> </w:t>
      </w:r>
      <w:r>
        <w:rPr>
          <w:spacing w:val="-2"/>
          <w:sz w:val="20"/>
          <w:szCs w:val="20"/>
          <w:u w:val="single"/>
        </w:rPr>
        <w:t>Investor</w:t>
      </w:r>
    </w:p>
    <w:p w:rsidR="008A6247" w:rsidP="006D4924" w:rsidRDefault="00B34D16" w14:paraId="4F15D768" w14:textId="1F305B25">
      <w:pPr>
        <w:pStyle w:val="BodyText"/>
        <w:spacing w:before="118"/>
        <w:ind w:left="1944"/>
        <w:jc w:val="both"/>
        <w:rPr>
          <w:sz w:val="20"/>
          <w:szCs w:val="20"/>
        </w:rPr>
      </w:pPr>
      <w:r>
        <w:rPr>
          <w:sz w:val="20"/>
          <w:szCs w:val="20"/>
        </w:rPr>
        <w:t xml:space="preserve">A typical investor in the Fund is an individual seeking an actively managed investment vehicle that aims for capital appreciation coupled with risk management through exposure to a global diversified portfolio encompassing equities, bonds, and commodities. This investor has a long-term investment horizon aligned with the Maturity Date, intending to save and optimize returns over an investment period of approximately seven to ten years. </w:t>
      </w:r>
      <w:r w:rsidR="006D4924">
        <w:rPr>
          <w:sz w:val="20"/>
          <w:szCs w:val="20"/>
        </w:rPr>
        <w:t xml:space="preserve">The Fund offers a managed solution for investors </w:t>
      </w:r>
      <w:r w:rsidRPr="00CF1788" w:rsidR="00CF1788">
        <w:rPr>
          <w:sz w:val="20"/>
          <w:szCs w:val="20"/>
        </w:rPr>
        <w:t>seeking to achieve a return on their investment between the years 2031 and 2034</w:t>
      </w:r>
      <w:r w:rsidR="00CF1788">
        <w:rPr>
          <w:sz w:val="20"/>
          <w:szCs w:val="20"/>
        </w:rPr>
        <w:t xml:space="preserve"> </w:t>
      </w:r>
      <w:r>
        <w:rPr>
          <w:sz w:val="20"/>
          <w:szCs w:val="20"/>
        </w:rPr>
        <w:t>(the “</w:t>
      </w:r>
      <w:r>
        <w:rPr>
          <w:b/>
          <w:bCs/>
          <w:sz w:val="20"/>
          <w:szCs w:val="20"/>
        </w:rPr>
        <w:t>Target Period</w:t>
      </w:r>
      <w:r>
        <w:rPr>
          <w:sz w:val="20"/>
          <w:szCs w:val="20"/>
        </w:rPr>
        <w:t xml:space="preserve">”). As the Target Period approaches, the investor’s risk tolerance decreases, prompting a strategic shift in their investment portfolio from higher-risk, higher-return assets to more stable, lower-risk assets to ensure capital preservation. Therefore, they seek an actively managed investment solution that not only allocates assets globally across various capital markets but also automatically adjusts its risk exposure over time in alignment with their decreasing risk tolerance, achieved by employing a “glide path” strategy where the asset allocation becomes progressively more conservative as the investment matures. </w:t>
      </w:r>
    </w:p>
    <w:p w:rsidR="00C00173" w:rsidRDefault="00B34D16" w14:paraId="54A8F605" w14:textId="77777777">
      <w:pPr>
        <w:rPr>
          <w:b/>
          <w:bCs/>
          <w:spacing w:val="-2"/>
          <w:sz w:val="20"/>
          <w:szCs w:val="20"/>
        </w:rPr>
      </w:pPr>
      <w:r>
        <w:rPr>
          <w:spacing w:val="-2"/>
          <w:sz w:val="20"/>
          <w:szCs w:val="20"/>
        </w:rPr>
        <w:br w:type="page"/>
      </w:r>
    </w:p>
    <w:p w:rsidRPr="00832783" w:rsidR="00BB0FBA" w:rsidP="00BB0FBA" w:rsidRDefault="00B34D16" w14:paraId="03940A60" w14:textId="7B931566">
      <w:pPr>
        <w:pStyle w:val="Heading1"/>
        <w:numPr>
          <w:ilvl w:val="0"/>
          <w:numId w:val="12"/>
        </w:numPr>
        <w:tabs>
          <w:tab w:val="left" w:pos="1943"/>
          <w:tab w:val="left" w:pos="1945"/>
        </w:tabs>
        <w:ind w:left="0" w:hanging="105"/>
        <w:rPr>
          <w:sz w:val="20"/>
          <w:szCs w:val="20"/>
        </w:rPr>
      </w:pPr>
      <w:r>
        <w:rPr>
          <w:spacing w:val="-2"/>
          <w:sz w:val="20"/>
          <w:szCs w:val="20"/>
        </w:rPr>
        <w:lastRenderedPageBreak/>
        <w:t>Definitions</w:t>
      </w:r>
    </w:p>
    <w:p w:rsidRPr="00832783" w:rsidR="00BB0FBA" w:rsidP="00BF77DC" w:rsidRDefault="00B34D16" w14:paraId="615EC5B0" w14:textId="77777777">
      <w:pPr>
        <w:pStyle w:val="BodyText"/>
        <w:spacing w:before="119"/>
        <w:ind w:left="1943" w:right="518"/>
        <w:jc w:val="both"/>
        <w:rPr>
          <w:sz w:val="20"/>
          <w:szCs w:val="20"/>
        </w:rPr>
      </w:pPr>
      <w:r>
        <w:rPr>
          <w:sz w:val="20"/>
          <w:szCs w:val="20"/>
        </w:rPr>
        <w:t>Unless</w:t>
      </w:r>
      <w:r>
        <w:rPr>
          <w:spacing w:val="-11"/>
          <w:sz w:val="20"/>
          <w:szCs w:val="20"/>
        </w:rPr>
        <w:t xml:space="preserve"> </w:t>
      </w:r>
      <w:r>
        <w:rPr>
          <w:sz w:val="20"/>
          <w:szCs w:val="20"/>
        </w:rPr>
        <w:t>otherwise</w:t>
      </w:r>
      <w:r>
        <w:rPr>
          <w:spacing w:val="-11"/>
          <w:sz w:val="20"/>
          <w:szCs w:val="20"/>
        </w:rPr>
        <w:t xml:space="preserve"> </w:t>
      </w:r>
      <w:r>
        <w:rPr>
          <w:sz w:val="20"/>
          <w:szCs w:val="20"/>
        </w:rPr>
        <w:t>stated</w:t>
      </w:r>
      <w:r>
        <w:rPr>
          <w:spacing w:val="-11"/>
          <w:sz w:val="20"/>
          <w:szCs w:val="20"/>
        </w:rPr>
        <w:t xml:space="preserve"> </w:t>
      </w:r>
      <w:r>
        <w:rPr>
          <w:sz w:val="20"/>
          <w:szCs w:val="20"/>
        </w:rPr>
        <w:t>below,</w:t>
      </w:r>
      <w:r>
        <w:rPr>
          <w:spacing w:val="-12"/>
          <w:sz w:val="20"/>
          <w:szCs w:val="20"/>
        </w:rPr>
        <w:t xml:space="preserve"> </w:t>
      </w:r>
      <w:r>
        <w:rPr>
          <w:sz w:val="20"/>
          <w:szCs w:val="20"/>
        </w:rPr>
        <w:t>all</w:t>
      </w:r>
      <w:r>
        <w:rPr>
          <w:spacing w:val="-10"/>
          <w:sz w:val="20"/>
          <w:szCs w:val="20"/>
        </w:rPr>
        <w:t xml:space="preserve"> </w:t>
      </w:r>
      <w:r>
        <w:rPr>
          <w:sz w:val="20"/>
          <w:szCs w:val="20"/>
        </w:rPr>
        <w:t>defined</w:t>
      </w:r>
      <w:r>
        <w:rPr>
          <w:spacing w:val="-11"/>
          <w:sz w:val="20"/>
          <w:szCs w:val="20"/>
        </w:rPr>
        <w:t xml:space="preserve"> </w:t>
      </w:r>
      <w:r>
        <w:rPr>
          <w:sz w:val="20"/>
          <w:szCs w:val="20"/>
        </w:rPr>
        <w:t>terms</w:t>
      </w:r>
      <w:r>
        <w:rPr>
          <w:spacing w:val="-11"/>
          <w:sz w:val="20"/>
          <w:szCs w:val="20"/>
        </w:rPr>
        <w:t xml:space="preserve"> </w:t>
      </w:r>
      <w:r>
        <w:rPr>
          <w:sz w:val="20"/>
          <w:szCs w:val="20"/>
        </w:rPr>
        <w:t>used</w:t>
      </w:r>
      <w:r>
        <w:rPr>
          <w:spacing w:val="-11"/>
          <w:sz w:val="20"/>
          <w:szCs w:val="20"/>
        </w:rPr>
        <w:t xml:space="preserve"> </w:t>
      </w:r>
      <w:r>
        <w:rPr>
          <w:sz w:val="20"/>
          <w:szCs w:val="20"/>
        </w:rPr>
        <w:t>in</w:t>
      </w:r>
      <w:r>
        <w:rPr>
          <w:spacing w:val="-11"/>
          <w:sz w:val="20"/>
          <w:szCs w:val="20"/>
        </w:rPr>
        <w:t xml:space="preserve"> </w:t>
      </w:r>
      <w:r>
        <w:rPr>
          <w:sz w:val="20"/>
          <w:szCs w:val="20"/>
        </w:rPr>
        <w:t>this</w:t>
      </w:r>
      <w:r>
        <w:rPr>
          <w:spacing w:val="-11"/>
          <w:sz w:val="20"/>
          <w:szCs w:val="20"/>
        </w:rPr>
        <w:t xml:space="preserve"> </w:t>
      </w:r>
      <w:r>
        <w:rPr>
          <w:sz w:val="20"/>
          <w:szCs w:val="20"/>
        </w:rPr>
        <w:t>Supplement</w:t>
      </w:r>
      <w:r>
        <w:rPr>
          <w:spacing w:val="-12"/>
          <w:sz w:val="20"/>
          <w:szCs w:val="20"/>
        </w:rPr>
        <w:t xml:space="preserve"> </w:t>
      </w:r>
      <w:r>
        <w:rPr>
          <w:sz w:val="20"/>
          <w:szCs w:val="20"/>
        </w:rPr>
        <w:t>shall</w:t>
      </w:r>
      <w:r>
        <w:rPr>
          <w:spacing w:val="-10"/>
          <w:sz w:val="20"/>
          <w:szCs w:val="20"/>
        </w:rPr>
        <w:t xml:space="preserve"> </w:t>
      </w:r>
      <w:r>
        <w:rPr>
          <w:sz w:val="20"/>
          <w:szCs w:val="20"/>
        </w:rPr>
        <w:t>have</w:t>
      </w:r>
      <w:r>
        <w:rPr>
          <w:spacing w:val="-11"/>
          <w:sz w:val="20"/>
          <w:szCs w:val="20"/>
        </w:rPr>
        <w:t xml:space="preserve"> </w:t>
      </w:r>
      <w:r>
        <w:rPr>
          <w:sz w:val="20"/>
          <w:szCs w:val="20"/>
        </w:rPr>
        <w:t>the</w:t>
      </w:r>
      <w:r>
        <w:rPr>
          <w:spacing w:val="-11"/>
          <w:sz w:val="20"/>
          <w:szCs w:val="20"/>
        </w:rPr>
        <w:t xml:space="preserve"> </w:t>
      </w:r>
      <w:r>
        <w:rPr>
          <w:sz w:val="20"/>
          <w:szCs w:val="20"/>
        </w:rPr>
        <w:t>same</w:t>
      </w:r>
      <w:r>
        <w:rPr>
          <w:spacing w:val="-11"/>
          <w:sz w:val="20"/>
          <w:szCs w:val="20"/>
        </w:rPr>
        <w:t xml:space="preserve"> </w:t>
      </w:r>
      <w:r>
        <w:rPr>
          <w:sz w:val="20"/>
          <w:szCs w:val="20"/>
        </w:rPr>
        <w:t>meaning as in the Prospectus.</w:t>
      </w:r>
    </w:p>
    <w:p w:rsidRPr="00832783" w:rsidR="00BB0FBA" w:rsidP="00BB0FBA" w:rsidRDefault="00BB0FBA" w14:paraId="0BD2CF5A" w14:textId="77777777">
      <w:pPr>
        <w:pStyle w:val="BodyText"/>
        <w:spacing w:before="9"/>
        <w:rPr>
          <w:sz w:val="20"/>
          <w:szCs w:val="20"/>
        </w:rPr>
      </w:pPr>
    </w:p>
    <w:tbl>
      <w:tblPr>
        <w:tblW w:w="8788" w:type="dxa"/>
        <w:tblInd w:w="19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1"/>
        <w:gridCol w:w="1276"/>
        <w:gridCol w:w="1275"/>
        <w:gridCol w:w="1843"/>
        <w:gridCol w:w="1559"/>
        <w:gridCol w:w="1134"/>
      </w:tblGrid>
      <w:tr w:rsidR="00DE13CA" w:rsidTr="00BF77DC" w14:paraId="7EEAC5DA" w14:textId="77777777">
        <w:trPr>
          <w:trHeight w:val="445"/>
        </w:trPr>
        <w:tc>
          <w:tcPr>
            <w:tcW w:w="1701" w:type="dxa"/>
          </w:tcPr>
          <w:p w:rsidRPr="00832783" w:rsidR="00BB0FBA" w:rsidP="005F7893" w:rsidRDefault="00B34D16" w14:paraId="31695E14" w14:textId="77777777">
            <w:pPr>
              <w:pStyle w:val="TableParagraph"/>
              <w:rPr>
                <w:b/>
                <w:sz w:val="20"/>
                <w:szCs w:val="20"/>
              </w:rPr>
            </w:pPr>
            <w:r>
              <w:rPr>
                <w:b/>
                <w:sz w:val="20"/>
                <w:szCs w:val="20"/>
              </w:rPr>
              <w:t>Base</w:t>
            </w:r>
            <w:r>
              <w:rPr>
                <w:b/>
                <w:spacing w:val="-2"/>
                <w:sz w:val="20"/>
                <w:szCs w:val="20"/>
              </w:rPr>
              <w:t xml:space="preserve"> Currency</w:t>
            </w:r>
          </w:p>
        </w:tc>
        <w:tc>
          <w:tcPr>
            <w:tcW w:w="7087" w:type="dxa"/>
            <w:gridSpan w:val="5"/>
          </w:tcPr>
          <w:p w:rsidRPr="00832783" w:rsidR="00BB0FBA" w:rsidP="005F7893" w:rsidRDefault="00B34D16" w14:paraId="324AE974" w14:textId="77777777">
            <w:pPr>
              <w:pStyle w:val="TableParagraph"/>
              <w:spacing w:before="119"/>
              <w:ind w:left="109"/>
              <w:rPr>
                <w:sz w:val="20"/>
                <w:szCs w:val="20"/>
              </w:rPr>
            </w:pPr>
            <w:r>
              <w:rPr>
                <w:sz w:val="20"/>
                <w:szCs w:val="20"/>
              </w:rPr>
              <w:t>means</w:t>
            </w:r>
            <w:r>
              <w:rPr>
                <w:spacing w:val="-3"/>
                <w:sz w:val="20"/>
                <w:szCs w:val="20"/>
              </w:rPr>
              <w:t xml:space="preserve"> </w:t>
            </w:r>
            <w:r>
              <w:rPr>
                <w:sz w:val="20"/>
                <w:szCs w:val="20"/>
              </w:rPr>
              <w:t>U.S.</w:t>
            </w:r>
            <w:r>
              <w:rPr>
                <w:spacing w:val="-1"/>
                <w:sz w:val="20"/>
                <w:szCs w:val="20"/>
              </w:rPr>
              <w:t xml:space="preserve"> </w:t>
            </w:r>
            <w:r>
              <w:rPr>
                <w:spacing w:val="-2"/>
                <w:sz w:val="20"/>
                <w:szCs w:val="20"/>
              </w:rPr>
              <w:t>Dollar.</w:t>
            </w:r>
          </w:p>
        </w:tc>
      </w:tr>
      <w:tr w:rsidR="00DE13CA" w:rsidTr="00BF77DC" w14:paraId="597F4F1A" w14:textId="77777777">
        <w:trPr>
          <w:trHeight w:val="861"/>
        </w:trPr>
        <w:tc>
          <w:tcPr>
            <w:tcW w:w="1701" w:type="dxa"/>
          </w:tcPr>
          <w:p w:rsidRPr="00832783" w:rsidR="00BB0FBA" w:rsidP="005F7893" w:rsidRDefault="00B34D16" w14:paraId="0FB53DAD" w14:textId="77777777">
            <w:pPr>
              <w:pStyle w:val="TableParagraph"/>
              <w:spacing w:before="116"/>
              <w:rPr>
                <w:b/>
                <w:sz w:val="20"/>
                <w:szCs w:val="20"/>
              </w:rPr>
            </w:pPr>
            <w:r>
              <w:rPr>
                <w:b/>
                <w:sz w:val="20"/>
                <w:szCs w:val="20"/>
              </w:rPr>
              <w:t>Business</w:t>
            </w:r>
            <w:r>
              <w:rPr>
                <w:b/>
                <w:spacing w:val="-2"/>
                <w:sz w:val="20"/>
                <w:szCs w:val="20"/>
              </w:rPr>
              <w:t xml:space="preserve"> </w:t>
            </w:r>
            <w:r>
              <w:rPr>
                <w:b/>
                <w:spacing w:val="-5"/>
                <w:sz w:val="20"/>
                <w:szCs w:val="20"/>
              </w:rPr>
              <w:t>Day</w:t>
            </w:r>
          </w:p>
        </w:tc>
        <w:tc>
          <w:tcPr>
            <w:tcW w:w="7087" w:type="dxa"/>
            <w:gridSpan w:val="5"/>
          </w:tcPr>
          <w:p w:rsidRPr="00F03A64" w:rsidR="00BB0FBA" w:rsidP="005F7893" w:rsidRDefault="00B34D16" w14:paraId="370BC487" w14:textId="6FC84146">
            <w:pPr>
              <w:pStyle w:val="TableParagraph"/>
              <w:spacing w:before="121"/>
              <w:ind w:right="92"/>
              <w:jc w:val="both"/>
              <w:rPr>
                <w:sz w:val="20"/>
                <w:szCs w:val="20"/>
              </w:rPr>
            </w:pPr>
            <w:r>
              <w:rPr>
                <w:sz w:val="20"/>
                <w:szCs w:val="20"/>
              </w:rPr>
              <w:t>means any day (other than a Saturday or Sunday) on which commercial banks are open for business in London and Dublin or such other day or days as the Directors may from time to time determine and notify in advance to Shareholders.</w:t>
            </w:r>
          </w:p>
        </w:tc>
      </w:tr>
      <w:tr w:rsidR="00DE13CA" w:rsidTr="003A6927" w14:paraId="4AF790D5" w14:textId="77777777">
        <w:trPr>
          <w:trHeight w:val="416"/>
        </w:trPr>
        <w:tc>
          <w:tcPr>
            <w:tcW w:w="1701" w:type="dxa"/>
          </w:tcPr>
          <w:p w:rsidRPr="00832783" w:rsidR="00BB0FBA" w:rsidP="005F7893" w:rsidRDefault="00B34D16" w14:paraId="040A6D0B" w14:textId="77777777">
            <w:pPr>
              <w:pStyle w:val="TableParagraph"/>
              <w:rPr>
                <w:b/>
                <w:sz w:val="20"/>
                <w:szCs w:val="20"/>
              </w:rPr>
            </w:pPr>
            <w:r>
              <w:rPr>
                <w:b/>
                <w:sz w:val="20"/>
                <w:szCs w:val="20"/>
              </w:rPr>
              <w:t>Dealing</w:t>
            </w:r>
            <w:r>
              <w:rPr>
                <w:b/>
                <w:spacing w:val="-1"/>
                <w:sz w:val="20"/>
                <w:szCs w:val="20"/>
              </w:rPr>
              <w:t xml:space="preserve"> </w:t>
            </w:r>
            <w:r>
              <w:rPr>
                <w:b/>
                <w:spacing w:val="-5"/>
                <w:sz w:val="20"/>
                <w:szCs w:val="20"/>
              </w:rPr>
              <w:t>Day</w:t>
            </w:r>
          </w:p>
        </w:tc>
        <w:tc>
          <w:tcPr>
            <w:tcW w:w="7087" w:type="dxa"/>
            <w:gridSpan w:val="5"/>
          </w:tcPr>
          <w:p w:rsidR="00BB0FBA" w:rsidP="005F7893" w:rsidRDefault="00B34D16" w14:paraId="1F05F53F" w14:textId="0945B842">
            <w:pPr>
              <w:pStyle w:val="TableParagraph"/>
              <w:spacing w:before="119"/>
              <w:ind w:right="92"/>
              <w:jc w:val="both"/>
              <w:rPr>
                <w:sz w:val="20"/>
                <w:szCs w:val="20"/>
              </w:rPr>
            </w:pPr>
            <w:r>
              <w:rPr>
                <w:sz w:val="20"/>
                <w:szCs w:val="20"/>
              </w:rPr>
              <w:t>means each Business Day on which commercial banks are open for business in New York, provided there is at least one Dealing Day per fortnight, subject always to the Directors’ discretion to temporarily suspend the determination of the Net Asset Value and the sale and/or redemption of Shares in the ICAV or any Fund in accordance with the provisions of the Prospectus and the Instrument.</w:t>
            </w:r>
          </w:p>
          <w:p w:rsidR="00BB0FBA" w:rsidP="005F7893" w:rsidRDefault="00B34D16" w14:paraId="429E38D8" w14:textId="77777777">
            <w:pPr>
              <w:pStyle w:val="TableParagraph1"/>
              <w:spacing w:before="120"/>
              <w:ind w:left="139" w:right="91"/>
              <w:jc w:val="both"/>
              <w:rPr>
                <w:sz w:val="20"/>
                <w:szCs w:val="20"/>
              </w:rPr>
            </w:pPr>
            <w:r>
              <w:rPr>
                <w:sz w:val="20"/>
                <w:szCs w:val="20"/>
              </w:rPr>
              <w:t>The dealing calendar for each Fund (and each Share Class within a Fund) is available from the Investment Manager and will be set out on the Website.</w:t>
            </w:r>
          </w:p>
        </w:tc>
      </w:tr>
      <w:tr w:rsidR="00DE13CA" w:rsidTr="00BF77DC" w14:paraId="71F3F68F" w14:textId="77777777">
        <w:trPr>
          <w:trHeight w:val="1067"/>
        </w:trPr>
        <w:tc>
          <w:tcPr>
            <w:tcW w:w="1701" w:type="dxa"/>
          </w:tcPr>
          <w:p w:rsidRPr="00832783" w:rsidR="00BB0FBA" w:rsidP="005F7893" w:rsidRDefault="00B34D16" w14:paraId="167C1778" w14:textId="77777777">
            <w:pPr>
              <w:pStyle w:val="TableParagraph"/>
              <w:ind w:right="547"/>
              <w:rPr>
                <w:b/>
                <w:sz w:val="20"/>
                <w:szCs w:val="20"/>
              </w:rPr>
            </w:pPr>
            <w:r>
              <w:rPr>
                <w:b/>
                <w:spacing w:val="-2"/>
                <w:sz w:val="20"/>
                <w:szCs w:val="20"/>
              </w:rPr>
              <w:t>Dealing Deadline</w:t>
            </w:r>
          </w:p>
        </w:tc>
        <w:tc>
          <w:tcPr>
            <w:tcW w:w="7087" w:type="dxa"/>
            <w:gridSpan w:val="5"/>
          </w:tcPr>
          <w:p w:rsidRPr="00832783" w:rsidR="00BB0FBA" w:rsidP="005F7893" w:rsidRDefault="00B34D16" w14:paraId="319D1323" w14:textId="62329B5F">
            <w:pPr>
              <w:pStyle w:val="TableParagraph"/>
              <w:spacing w:before="119"/>
              <w:ind w:left="109" w:right="91"/>
              <w:jc w:val="both"/>
              <w:rPr>
                <w:sz w:val="20"/>
                <w:szCs w:val="20"/>
              </w:rPr>
            </w:pPr>
            <w:r>
              <w:rPr>
                <w:sz w:val="20"/>
                <w:szCs w:val="20"/>
              </w:rPr>
              <w:t>means</w:t>
            </w:r>
            <w:r>
              <w:rPr>
                <w:spacing w:val="-6"/>
                <w:sz w:val="20"/>
                <w:szCs w:val="20"/>
              </w:rPr>
              <w:t xml:space="preserve"> </w:t>
            </w:r>
            <w:r>
              <w:rPr>
                <w:sz w:val="20"/>
                <w:szCs w:val="20"/>
              </w:rPr>
              <w:t>15:00</w:t>
            </w:r>
            <w:r>
              <w:rPr>
                <w:spacing w:val="-6"/>
                <w:sz w:val="20"/>
                <w:szCs w:val="20"/>
              </w:rPr>
              <w:t xml:space="preserve"> </w:t>
            </w:r>
            <w:r>
              <w:rPr>
                <w:sz w:val="20"/>
                <w:szCs w:val="20"/>
              </w:rPr>
              <w:t>(Irish</w:t>
            </w:r>
            <w:r>
              <w:rPr>
                <w:spacing w:val="-6"/>
                <w:sz w:val="20"/>
                <w:szCs w:val="20"/>
              </w:rPr>
              <w:t xml:space="preserve"> </w:t>
            </w:r>
            <w:r>
              <w:rPr>
                <w:sz w:val="20"/>
                <w:szCs w:val="20"/>
              </w:rPr>
              <w:t>time)</w:t>
            </w:r>
            <w:r>
              <w:rPr>
                <w:spacing w:val="-7"/>
                <w:sz w:val="20"/>
                <w:szCs w:val="20"/>
              </w:rPr>
              <w:t xml:space="preserve"> </w:t>
            </w:r>
            <w:r>
              <w:rPr>
                <w:sz w:val="20"/>
                <w:szCs w:val="20"/>
              </w:rPr>
              <w:t>on</w:t>
            </w:r>
            <w:r>
              <w:rPr>
                <w:spacing w:val="-6"/>
                <w:sz w:val="20"/>
                <w:szCs w:val="20"/>
              </w:rPr>
              <w:t xml:space="preserve"> </w:t>
            </w:r>
            <w:r>
              <w:rPr>
                <w:sz w:val="20"/>
                <w:szCs w:val="20"/>
              </w:rPr>
              <w:t>the</w:t>
            </w:r>
            <w:r>
              <w:rPr>
                <w:spacing w:val="-6"/>
                <w:sz w:val="20"/>
                <w:szCs w:val="20"/>
              </w:rPr>
              <w:t xml:space="preserve"> </w:t>
            </w:r>
            <w:r>
              <w:rPr>
                <w:sz w:val="20"/>
                <w:szCs w:val="20"/>
              </w:rPr>
              <w:t>relevant</w:t>
            </w:r>
            <w:r>
              <w:rPr>
                <w:spacing w:val="-7"/>
                <w:sz w:val="20"/>
                <w:szCs w:val="20"/>
              </w:rPr>
              <w:t xml:space="preserve"> </w:t>
            </w:r>
            <w:r>
              <w:rPr>
                <w:sz w:val="20"/>
                <w:szCs w:val="20"/>
              </w:rPr>
              <w:t>Dealing</w:t>
            </w:r>
            <w:r>
              <w:rPr>
                <w:spacing w:val="-6"/>
                <w:sz w:val="20"/>
                <w:szCs w:val="20"/>
              </w:rPr>
              <w:t xml:space="preserve"> </w:t>
            </w:r>
            <w:r>
              <w:rPr>
                <w:sz w:val="20"/>
                <w:szCs w:val="20"/>
              </w:rPr>
              <w:t>Day,</w:t>
            </w:r>
            <w:r>
              <w:rPr>
                <w:spacing w:val="-6"/>
                <w:sz w:val="20"/>
                <w:szCs w:val="20"/>
              </w:rPr>
              <w:t xml:space="preserve"> </w:t>
            </w:r>
            <w:r>
              <w:rPr>
                <w:sz w:val="20"/>
                <w:szCs w:val="20"/>
              </w:rPr>
              <w:t>or</w:t>
            </w:r>
            <w:r>
              <w:rPr>
                <w:spacing w:val="-7"/>
                <w:sz w:val="20"/>
                <w:szCs w:val="20"/>
              </w:rPr>
              <w:t xml:space="preserve"> </w:t>
            </w:r>
            <w:r>
              <w:rPr>
                <w:sz w:val="20"/>
                <w:szCs w:val="20"/>
              </w:rPr>
              <w:t>such</w:t>
            </w:r>
            <w:r>
              <w:rPr>
                <w:spacing w:val="-9"/>
                <w:sz w:val="20"/>
                <w:szCs w:val="20"/>
              </w:rPr>
              <w:t xml:space="preserve"> </w:t>
            </w:r>
            <w:r>
              <w:rPr>
                <w:sz w:val="20"/>
                <w:szCs w:val="20"/>
              </w:rPr>
              <w:t>other time</w:t>
            </w:r>
            <w:r>
              <w:rPr>
                <w:spacing w:val="-5"/>
                <w:sz w:val="20"/>
                <w:szCs w:val="20"/>
              </w:rPr>
              <w:t xml:space="preserve"> </w:t>
            </w:r>
            <w:r>
              <w:rPr>
                <w:sz w:val="20"/>
                <w:szCs w:val="20"/>
              </w:rPr>
              <w:t>for</w:t>
            </w:r>
            <w:r>
              <w:rPr>
                <w:spacing w:val="-3"/>
                <w:sz w:val="20"/>
                <w:szCs w:val="20"/>
              </w:rPr>
              <w:t xml:space="preserve"> </w:t>
            </w:r>
            <w:r>
              <w:rPr>
                <w:sz w:val="20"/>
                <w:szCs w:val="20"/>
              </w:rPr>
              <w:t>the</w:t>
            </w:r>
            <w:r>
              <w:rPr>
                <w:spacing w:val="-2"/>
                <w:sz w:val="20"/>
                <w:szCs w:val="20"/>
              </w:rPr>
              <w:t xml:space="preserve"> </w:t>
            </w:r>
            <w:r>
              <w:rPr>
                <w:sz w:val="20"/>
                <w:szCs w:val="20"/>
              </w:rPr>
              <w:t>relevant</w:t>
            </w:r>
            <w:r>
              <w:rPr>
                <w:spacing w:val="-3"/>
                <w:sz w:val="20"/>
                <w:szCs w:val="20"/>
              </w:rPr>
              <w:t xml:space="preserve"> </w:t>
            </w:r>
            <w:r>
              <w:rPr>
                <w:sz w:val="20"/>
                <w:szCs w:val="20"/>
              </w:rPr>
              <w:t>Dealing</w:t>
            </w:r>
            <w:r>
              <w:rPr>
                <w:spacing w:val="-2"/>
                <w:sz w:val="20"/>
                <w:szCs w:val="20"/>
              </w:rPr>
              <w:t xml:space="preserve"> </w:t>
            </w:r>
            <w:r>
              <w:rPr>
                <w:sz w:val="20"/>
                <w:szCs w:val="20"/>
              </w:rPr>
              <w:t>Day</w:t>
            </w:r>
            <w:r>
              <w:rPr>
                <w:spacing w:val="-4"/>
                <w:sz w:val="20"/>
                <w:szCs w:val="20"/>
              </w:rPr>
              <w:t xml:space="preserve"> </w:t>
            </w:r>
            <w:r>
              <w:rPr>
                <w:sz w:val="20"/>
                <w:szCs w:val="20"/>
              </w:rPr>
              <w:t>as</w:t>
            </w:r>
            <w:r>
              <w:rPr>
                <w:spacing w:val="-2"/>
                <w:sz w:val="20"/>
                <w:szCs w:val="20"/>
              </w:rPr>
              <w:t xml:space="preserve"> </w:t>
            </w:r>
            <w:r>
              <w:rPr>
                <w:sz w:val="20"/>
                <w:szCs w:val="20"/>
              </w:rPr>
              <w:t>may</w:t>
            </w:r>
            <w:r>
              <w:rPr>
                <w:spacing w:val="-4"/>
                <w:sz w:val="20"/>
                <w:szCs w:val="20"/>
              </w:rPr>
              <w:t xml:space="preserve"> </w:t>
            </w:r>
            <w:r>
              <w:rPr>
                <w:sz w:val="20"/>
                <w:szCs w:val="20"/>
              </w:rPr>
              <w:t>be</w:t>
            </w:r>
            <w:r>
              <w:rPr>
                <w:spacing w:val="-2"/>
                <w:sz w:val="20"/>
                <w:szCs w:val="20"/>
              </w:rPr>
              <w:t xml:space="preserve"> </w:t>
            </w:r>
            <w:r>
              <w:rPr>
                <w:sz w:val="20"/>
                <w:szCs w:val="20"/>
              </w:rPr>
              <w:t>determined</w:t>
            </w:r>
            <w:r>
              <w:rPr>
                <w:spacing w:val="-2"/>
                <w:sz w:val="20"/>
                <w:szCs w:val="20"/>
              </w:rPr>
              <w:t xml:space="preserve"> </w:t>
            </w:r>
            <w:r>
              <w:rPr>
                <w:sz w:val="20"/>
                <w:szCs w:val="20"/>
              </w:rPr>
              <w:t>by</w:t>
            </w:r>
            <w:r>
              <w:rPr>
                <w:spacing w:val="-4"/>
                <w:sz w:val="20"/>
                <w:szCs w:val="20"/>
              </w:rPr>
              <w:t xml:space="preserve"> </w:t>
            </w:r>
            <w:r>
              <w:rPr>
                <w:sz w:val="20"/>
                <w:szCs w:val="20"/>
              </w:rPr>
              <w:t>Directors</w:t>
            </w:r>
            <w:r>
              <w:rPr>
                <w:spacing w:val="-2"/>
                <w:sz w:val="20"/>
                <w:szCs w:val="20"/>
              </w:rPr>
              <w:t xml:space="preserve"> </w:t>
            </w:r>
            <w:r>
              <w:rPr>
                <w:sz w:val="20"/>
                <w:szCs w:val="20"/>
              </w:rPr>
              <w:t>(or</w:t>
            </w:r>
            <w:r>
              <w:rPr>
                <w:spacing w:val="-3"/>
                <w:sz w:val="20"/>
                <w:szCs w:val="20"/>
              </w:rPr>
              <w:t xml:space="preserve"> </w:t>
            </w:r>
            <w:r>
              <w:rPr>
                <w:sz w:val="20"/>
                <w:szCs w:val="20"/>
              </w:rPr>
              <w:t>their</w:t>
            </w:r>
            <w:r>
              <w:rPr>
                <w:spacing w:val="-3"/>
                <w:sz w:val="20"/>
                <w:szCs w:val="20"/>
              </w:rPr>
              <w:t xml:space="preserve"> </w:t>
            </w:r>
            <w:r>
              <w:rPr>
                <w:sz w:val="20"/>
                <w:szCs w:val="20"/>
              </w:rPr>
              <w:t>duly</w:t>
            </w:r>
            <w:r>
              <w:rPr>
                <w:spacing w:val="-4"/>
                <w:sz w:val="20"/>
                <w:szCs w:val="20"/>
              </w:rPr>
              <w:t xml:space="preserve"> </w:t>
            </w:r>
            <w:r>
              <w:rPr>
                <w:sz w:val="20"/>
                <w:szCs w:val="20"/>
              </w:rPr>
              <w:t>appointed delegates)</w:t>
            </w:r>
            <w:r>
              <w:rPr>
                <w:spacing w:val="-13"/>
                <w:sz w:val="20"/>
                <w:szCs w:val="20"/>
              </w:rPr>
              <w:t xml:space="preserve"> </w:t>
            </w:r>
            <w:r>
              <w:rPr>
                <w:sz w:val="20"/>
                <w:szCs w:val="20"/>
              </w:rPr>
              <w:t>and</w:t>
            </w:r>
            <w:r>
              <w:rPr>
                <w:spacing w:val="-12"/>
                <w:sz w:val="20"/>
                <w:szCs w:val="20"/>
              </w:rPr>
              <w:t xml:space="preserve"> </w:t>
            </w:r>
            <w:r>
              <w:rPr>
                <w:sz w:val="20"/>
                <w:szCs w:val="20"/>
              </w:rPr>
              <w:t>notified</w:t>
            </w:r>
            <w:r>
              <w:rPr>
                <w:spacing w:val="-13"/>
                <w:sz w:val="20"/>
                <w:szCs w:val="20"/>
              </w:rPr>
              <w:t xml:space="preserve"> </w:t>
            </w:r>
            <w:r>
              <w:rPr>
                <w:sz w:val="20"/>
                <w:szCs w:val="20"/>
              </w:rPr>
              <w:t>in</w:t>
            </w:r>
            <w:r>
              <w:rPr>
                <w:spacing w:val="-12"/>
                <w:sz w:val="20"/>
                <w:szCs w:val="20"/>
              </w:rPr>
              <w:t xml:space="preserve"> </w:t>
            </w:r>
            <w:r>
              <w:rPr>
                <w:sz w:val="20"/>
                <w:szCs w:val="20"/>
              </w:rPr>
              <w:t>advance</w:t>
            </w:r>
            <w:r>
              <w:rPr>
                <w:spacing w:val="-13"/>
                <w:sz w:val="20"/>
                <w:szCs w:val="20"/>
              </w:rPr>
              <w:t xml:space="preserve"> </w:t>
            </w:r>
            <w:r>
              <w:rPr>
                <w:sz w:val="20"/>
                <w:szCs w:val="20"/>
              </w:rPr>
              <w:t>to</w:t>
            </w:r>
            <w:r>
              <w:rPr>
                <w:spacing w:val="-13"/>
                <w:sz w:val="20"/>
                <w:szCs w:val="20"/>
              </w:rPr>
              <w:t xml:space="preserve"> </w:t>
            </w:r>
            <w:r>
              <w:rPr>
                <w:sz w:val="20"/>
                <w:szCs w:val="20"/>
              </w:rPr>
              <w:t>Shareholders</w:t>
            </w:r>
            <w:r>
              <w:rPr>
                <w:spacing w:val="-12"/>
                <w:sz w:val="20"/>
                <w:szCs w:val="20"/>
              </w:rPr>
              <w:t xml:space="preserve"> </w:t>
            </w:r>
            <w:r>
              <w:rPr>
                <w:sz w:val="20"/>
                <w:szCs w:val="20"/>
              </w:rPr>
              <w:t>provided</w:t>
            </w:r>
            <w:r>
              <w:rPr>
                <w:spacing w:val="-13"/>
                <w:sz w:val="20"/>
                <w:szCs w:val="20"/>
              </w:rPr>
              <w:t xml:space="preserve"> </w:t>
            </w:r>
            <w:r>
              <w:rPr>
                <w:sz w:val="20"/>
                <w:szCs w:val="20"/>
              </w:rPr>
              <w:t>always</w:t>
            </w:r>
            <w:r>
              <w:rPr>
                <w:spacing w:val="-12"/>
                <w:sz w:val="20"/>
                <w:szCs w:val="20"/>
              </w:rPr>
              <w:t xml:space="preserve"> </w:t>
            </w:r>
            <w:r>
              <w:rPr>
                <w:sz w:val="20"/>
                <w:szCs w:val="20"/>
              </w:rPr>
              <w:t>that</w:t>
            </w:r>
            <w:r>
              <w:rPr>
                <w:spacing w:val="-13"/>
                <w:sz w:val="20"/>
                <w:szCs w:val="20"/>
              </w:rPr>
              <w:t xml:space="preserve"> </w:t>
            </w:r>
            <w:r>
              <w:rPr>
                <w:sz w:val="20"/>
                <w:szCs w:val="20"/>
              </w:rPr>
              <w:t>the</w:t>
            </w:r>
            <w:r>
              <w:rPr>
                <w:spacing w:val="-12"/>
                <w:sz w:val="20"/>
                <w:szCs w:val="20"/>
              </w:rPr>
              <w:t xml:space="preserve"> </w:t>
            </w:r>
            <w:r>
              <w:rPr>
                <w:sz w:val="20"/>
                <w:szCs w:val="20"/>
              </w:rPr>
              <w:t>Dealing</w:t>
            </w:r>
            <w:r>
              <w:rPr>
                <w:spacing w:val="-13"/>
                <w:sz w:val="20"/>
                <w:szCs w:val="20"/>
              </w:rPr>
              <w:t xml:space="preserve"> </w:t>
            </w:r>
            <w:r>
              <w:rPr>
                <w:sz w:val="20"/>
                <w:szCs w:val="20"/>
              </w:rPr>
              <w:t>Deadline is no later than the Valuation Point.</w:t>
            </w:r>
          </w:p>
        </w:tc>
      </w:tr>
      <w:tr w:rsidR="00DE13CA" w:rsidTr="00BF77DC" w14:paraId="6DE250C8" w14:textId="77777777">
        <w:trPr>
          <w:trHeight w:val="472"/>
        </w:trPr>
        <w:tc>
          <w:tcPr>
            <w:tcW w:w="1701" w:type="dxa"/>
          </w:tcPr>
          <w:p w:rsidRPr="00832783" w:rsidR="00BB0FBA" w:rsidP="005F7893" w:rsidRDefault="00B34D16" w14:paraId="3746CBC7" w14:textId="77777777">
            <w:pPr>
              <w:pStyle w:val="TableParagraph"/>
              <w:ind w:right="547"/>
              <w:rPr>
                <w:b/>
                <w:spacing w:val="-2"/>
                <w:sz w:val="20"/>
                <w:szCs w:val="20"/>
              </w:rPr>
            </w:pPr>
            <w:r>
              <w:rPr>
                <w:b/>
                <w:spacing w:val="-2"/>
                <w:sz w:val="20"/>
                <w:szCs w:val="20"/>
              </w:rPr>
              <w:t>Distributor</w:t>
            </w:r>
          </w:p>
        </w:tc>
        <w:tc>
          <w:tcPr>
            <w:tcW w:w="7087" w:type="dxa"/>
            <w:gridSpan w:val="5"/>
          </w:tcPr>
          <w:p w:rsidRPr="00832783" w:rsidR="00BB0FBA" w:rsidP="005F7893" w:rsidRDefault="00B34D16" w14:paraId="320466A3" w14:textId="77777777">
            <w:pPr>
              <w:pStyle w:val="TableParagraph"/>
              <w:spacing w:before="119"/>
              <w:ind w:left="109" w:right="91"/>
              <w:jc w:val="both"/>
              <w:rPr>
                <w:sz w:val="20"/>
                <w:szCs w:val="20"/>
              </w:rPr>
            </w:pPr>
            <w:r>
              <w:rPr>
                <w:sz w:val="20"/>
                <w:szCs w:val="20"/>
              </w:rPr>
              <w:t>means Waystone Management Company (IE) Limited.</w:t>
            </w:r>
          </w:p>
        </w:tc>
      </w:tr>
      <w:tr w:rsidR="00DE13CA" w:rsidTr="00BF77DC" w14:paraId="7AD9D87C" w14:textId="77777777">
        <w:trPr>
          <w:trHeight w:val="472"/>
        </w:trPr>
        <w:tc>
          <w:tcPr>
            <w:tcW w:w="1701" w:type="dxa"/>
          </w:tcPr>
          <w:p w:rsidR="00C00173" w:rsidP="00C00173" w:rsidRDefault="00B34D16" w14:paraId="330AD6C4" w14:textId="00381706">
            <w:pPr>
              <w:pStyle w:val="TableParagraph"/>
              <w:rPr>
                <w:b/>
                <w:spacing w:val="-2"/>
                <w:sz w:val="20"/>
                <w:szCs w:val="20"/>
              </w:rPr>
            </w:pPr>
            <w:r>
              <w:rPr>
                <w:b/>
                <w:spacing w:val="-2"/>
                <w:sz w:val="20"/>
                <w:szCs w:val="20"/>
              </w:rPr>
              <w:t>Exchange Traded Commodities / ETCs</w:t>
            </w:r>
          </w:p>
        </w:tc>
        <w:tc>
          <w:tcPr>
            <w:tcW w:w="7087" w:type="dxa"/>
            <w:gridSpan w:val="5"/>
          </w:tcPr>
          <w:p w:rsidR="00C00173" w:rsidP="00C00173" w:rsidRDefault="00B34D16" w14:paraId="1C47AE46" w14:textId="3A8661E0">
            <w:pPr>
              <w:pStyle w:val="TableParagraph"/>
              <w:spacing w:before="119"/>
              <w:ind w:left="109" w:right="91"/>
              <w:jc w:val="both"/>
              <w:rPr>
                <w:sz w:val="20"/>
                <w:szCs w:val="20"/>
              </w:rPr>
            </w:pPr>
            <w:r>
              <w:rPr>
                <w:sz w:val="20"/>
                <w:szCs w:val="20"/>
              </w:rPr>
              <w:t xml:space="preserve">means </w:t>
            </w:r>
            <w:r w:rsidR="00276F02">
              <w:rPr>
                <w:sz w:val="20"/>
                <w:szCs w:val="20"/>
              </w:rPr>
              <w:t xml:space="preserve">UCITS eligible </w:t>
            </w:r>
            <w:r>
              <w:rPr>
                <w:sz w:val="20"/>
                <w:szCs w:val="20"/>
              </w:rPr>
              <w:t xml:space="preserve">debt instruments, providing exposure to single commodities comprising of grains, energy, industrial metals, precious metals, livestock &amp; softs, by tracking the performance of a commodity or commodity index. </w:t>
            </w:r>
          </w:p>
          <w:p w:rsidR="00C00173" w:rsidP="00C00173" w:rsidRDefault="00C00173" w14:paraId="41DDF3AC" w14:textId="4B2E70DA">
            <w:pPr>
              <w:pStyle w:val="TableParagraph"/>
              <w:spacing w:before="119"/>
              <w:ind w:left="109" w:right="91"/>
              <w:jc w:val="both"/>
              <w:rPr>
                <w:sz w:val="20"/>
                <w:szCs w:val="20"/>
              </w:rPr>
            </w:pPr>
          </w:p>
        </w:tc>
      </w:tr>
      <w:tr w:rsidR="00F60399" w:rsidTr="00F60399" w14:paraId="0CA93BD9" w14:textId="77777777">
        <w:trPr>
          <w:trHeight w:val="446"/>
        </w:trPr>
        <w:tc>
          <w:tcPr>
            <w:tcW w:w="1701" w:type="dxa"/>
            <w:vMerge w:val="restart"/>
          </w:tcPr>
          <w:p w:rsidRPr="00832783" w:rsidR="00F60399" w:rsidP="005F7893" w:rsidRDefault="00F60399" w14:paraId="1E41F322" w14:textId="77777777">
            <w:pPr>
              <w:pStyle w:val="TableParagraph"/>
              <w:rPr>
                <w:b/>
                <w:sz w:val="20"/>
                <w:szCs w:val="20"/>
              </w:rPr>
            </w:pPr>
            <w:r>
              <w:rPr>
                <w:b/>
                <w:sz w:val="20"/>
                <w:szCs w:val="20"/>
              </w:rPr>
              <w:t>Share</w:t>
            </w:r>
            <w:r>
              <w:rPr>
                <w:b/>
                <w:spacing w:val="-1"/>
                <w:sz w:val="20"/>
                <w:szCs w:val="20"/>
              </w:rPr>
              <w:t xml:space="preserve"> </w:t>
            </w:r>
            <w:r>
              <w:rPr>
                <w:b/>
                <w:spacing w:val="-2"/>
                <w:sz w:val="20"/>
                <w:szCs w:val="20"/>
              </w:rPr>
              <w:t>Class</w:t>
            </w:r>
          </w:p>
        </w:tc>
        <w:tc>
          <w:tcPr>
            <w:tcW w:w="1276" w:type="dxa"/>
          </w:tcPr>
          <w:p w:rsidRPr="00832783" w:rsidR="00F60399" w:rsidP="005F7893" w:rsidRDefault="00F60399" w14:paraId="549AD930" w14:textId="7911545C">
            <w:pPr>
              <w:pStyle w:val="TableParagraph"/>
              <w:rPr>
                <w:b/>
                <w:sz w:val="20"/>
                <w:szCs w:val="20"/>
              </w:rPr>
            </w:pPr>
            <w:r>
              <w:rPr>
                <w:b/>
                <w:sz w:val="20"/>
                <w:szCs w:val="20"/>
              </w:rPr>
              <w:t>Share</w:t>
            </w:r>
            <w:r>
              <w:rPr>
                <w:b/>
                <w:spacing w:val="-1"/>
                <w:sz w:val="20"/>
                <w:szCs w:val="20"/>
              </w:rPr>
              <w:t xml:space="preserve"> </w:t>
            </w:r>
            <w:r>
              <w:rPr>
                <w:b/>
                <w:spacing w:val="-2"/>
                <w:sz w:val="20"/>
                <w:szCs w:val="20"/>
              </w:rPr>
              <w:t>Class^</w:t>
            </w:r>
          </w:p>
        </w:tc>
        <w:tc>
          <w:tcPr>
            <w:tcW w:w="1275" w:type="dxa"/>
          </w:tcPr>
          <w:p w:rsidRPr="00832783" w:rsidR="00F60399" w:rsidP="005F7893" w:rsidRDefault="00F60399" w14:paraId="538AD6FC" w14:textId="77777777">
            <w:pPr>
              <w:pStyle w:val="TableParagraph"/>
              <w:rPr>
                <w:b/>
                <w:sz w:val="20"/>
                <w:szCs w:val="20"/>
              </w:rPr>
            </w:pPr>
            <w:r>
              <w:rPr>
                <w:b/>
                <w:spacing w:val="-2"/>
                <w:sz w:val="20"/>
                <w:szCs w:val="20"/>
              </w:rPr>
              <w:t>Currency</w:t>
            </w:r>
          </w:p>
        </w:tc>
        <w:tc>
          <w:tcPr>
            <w:tcW w:w="1843" w:type="dxa"/>
          </w:tcPr>
          <w:p w:rsidRPr="00832783" w:rsidR="00F60399" w:rsidP="005F7893" w:rsidRDefault="00F60399" w14:paraId="10666581" w14:textId="77777777">
            <w:pPr>
              <w:pStyle w:val="TableParagraph"/>
              <w:rPr>
                <w:b/>
                <w:sz w:val="20"/>
                <w:szCs w:val="20"/>
              </w:rPr>
            </w:pPr>
            <w:r>
              <w:rPr>
                <w:b/>
                <w:sz w:val="20"/>
                <w:szCs w:val="20"/>
              </w:rPr>
              <w:t>Dividend Policy</w:t>
            </w:r>
          </w:p>
        </w:tc>
        <w:tc>
          <w:tcPr>
            <w:tcW w:w="1559" w:type="dxa"/>
          </w:tcPr>
          <w:p w:rsidRPr="00832783" w:rsidR="00F60399" w:rsidP="005F7893" w:rsidRDefault="00F60399" w14:paraId="68BD58F7" w14:textId="77777777">
            <w:pPr>
              <w:pStyle w:val="TableParagraph"/>
              <w:rPr>
                <w:b/>
                <w:sz w:val="20"/>
                <w:szCs w:val="20"/>
              </w:rPr>
            </w:pPr>
            <w:r>
              <w:rPr>
                <w:b/>
                <w:sz w:val="20"/>
                <w:szCs w:val="20"/>
              </w:rPr>
              <w:t>TER</w:t>
            </w:r>
          </w:p>
        </w:tc>
        <w:tc>
          <w:tcPr>
            <w:tcW w:w="1134" w:type="dxa"/>
          </w:tcPr>
          <w:p w:rsidRPr="00832783" w:rsidR="00F60399" w:rsidP="005F7893" w:rsidRDefault="00F60399" w14:paraId="4350C52E" w14:textId="4EBA24F5">
            <w:pPr>
              <w:pStyle w:val="TableParagraph"/>
              <w:rPr>
                <w:b/>
                <w:sz w:val="20"/>
                <w:szCs w:val="20"/>
              </w:rPr>
            </w:pPr>
            <w:r>
              <w:rPr>
                <w:b/>
                <w:sz w:val="20"/>
                <w:szCs w:val="20"/>
              </w:rPr>
              <w:t>Initial Offer Price</w:t>
            </w:r>
          </w:p>
        </w:tc>
      </w:tr>
      <w:tr w:rsidR="00F60399" w:rsidTr="00F60399" w14:paraId="61C59032" w14:textId="77777777">
        <w:trPr>
          <w:trHeight w:val="448"/>
        </w:trPr>
        <w:tc>
          <w:tcPr>
            <w:tcW w:w="1701" w:type="dxa"/>
            <w:vMerge/>
            <w:tcBorders>
              <w:top w:val="nil"/>
            </w:tcBorders>
          </w:tcPr>
          <w:p w:rsidRPr="00832783" w:rsidR="00F60399" w:rsidP="005F7893" w:rsidRDefault="00F60399" w14:paraId="5369A7E8" w14:textId="77777777">
            <w:pPr>
              <w:rPr>
                <w:sz w:val="20"/>
                <w:szCs w:val="20"/>
              </w:rPr>
            </w:pPr>
          </w:p>
        </w:tc>
        <w:tc>
          <w:tcPr>
            <w:tcW w:w="1276" w:type="dxa"/>
          </w:tcPr>
          <w:p w:rsidRPr="00832783" w:rsidR="00F60399" w:rsidP="005F7893" w:rsidRDefault="00F60399" w14:paraId="25728C07" w14:textId="6B1348F5">
            <w:pPr>
              <w:pStyle w:val="TableParagraph"/>
              <w:spacing w:before="121"/>
              <w:ind w:left="109"/>
              <w:rPr>
                <w:sz w:val="20"/>
                <w:szCs w:val="20"/>
              </w:rPr>
            </w:pPr>
            <w:r>
              <w:rPr>
                <w:spacing w:val="-2"/>
                <w:sz w:val="20"/>
                <w:szCs w:val="20"/>
              </w:rPr>
              <w:t>A</w:t>
            </w:r>
          </w:p>
        </w:tc>
        <w:tc>
          <w:tcPr>
            <w:tcW w:w="1275" w:type="dxa"/>
          </w:tcPr>
          <w:p w:rsidRPr="00832783" w:rsidR="00F60399" w:rsidP="005F7893" w:rsidRDefault="00F60399" w14:paraId="3672B9C4" w14:textId="77777777">
            <w:pPr>
              <w:pStyle w:val="TableParagraph"/>
              <w:spacing w:before="121"/>
              <w:ind w:left="109"/>
              <w:rPr>
                <w:sz w:val="20"/>
                <w:szCs w:val="20"/>
              </w:rPr>
            </w:pPr>
            <w:r>
              <w:rPr>
                <w:spacing w:val="-5"/>
                <w:sz w:val="20"/>
                <w:szCs w:val="20"/>
              </w:rPr>
              <w:t>USD</w:t>
            </w:r>
          </w:p>
        </w:tc>
        <w:tc>
          <w:tcPr>
            <w:tcW w:w="1843" w:type="dxa"/>
          </w:tcPr>
          <w:p w:rsidRPr="00832783" w:rsidR="00F60399" w:rsidP="005F7893" w:rsidRDefault="00F60399" w14:paraId="6A4D6A25" w14:textId="77777777">
            <w:pPr>
              <w:pStyle w:val="TableParagraph"/>
              <w:spacing w:before="121"/>
              <w:ind w:left="109"/>
              <w:rPr>
                <w:sz w:val="20"/>
                <w:szCs w:val="20"/>
              </w:rPr>
            </w:pPr>
            <w:r>
              <w:rPr>
                <w:spacing w:val="-2"/>
                <w:sz w:val="20"/>
                <w:szCs w:val="20"/>
              </w:rPr>
              <w:t>Accumulating</w:t>
            </w:r>
          </w:p>
        </w:tc>
        <w:tc>
          <w:tcPr>
            <w:tcW w:w="1559" w:type="dxa"/>
          </w:tcPr>
          <w:p w:rsidRPr="00832783" w:rsidR="00F60399" w:rsidP="005F7893" w:rsidRDefault="00F60399" w14:paraId="2B3B10CA" w14:textId="77777777">
            <w:pPr>
              <w:pStyle w:val="TableParagraph"/>
              <w:spacing w:before="121"/>
              <w:ind w:left="109"/>
              <w:rPr>
                <w:sz w:val="20"/>
                <w:szCs w:val="20"/>
              </w:rPr>
            </w:pPr>
            <w:r>
              <w:rPr>
                <w:sz w:val="20"/>
                <w:szCs w:val="20"/>
                <w:lang w:val="en-IE"/>
              </w:rPr>
              <w:t>Up to 1.25 % per annum</w:t>
            </w:r>
          </w:p>
        </w:tc>
        <w:tc>
          <w:tcPr>
            <w:tcW w:w="1134" w:type="dxa"/>
          </w:tcPr>
          <w:p w:rsidRPr="00832783" w:rsidR="00F60399" w:rsidP="005F7893" w:rsidRDefault="00F60399" w14:paraId="36EDF465" w14:textId="259CF1ED">
            <w:pPr>
              <w:pStyle w:val="TableParagraph"/>
              <w:spacing w:before="121"/>
              <w:ind w:left="109"/>
              <w:rPr>
                <w:sz w:val="20"/>
                <w:szCs w:val="20"/>
              </w:rPr>
            </w:pPr>
            <w:r>
              <w:rPr>
                <w:sz w:val="20"/>
                <w:szCs w:val="20"/>
              </w:rPr>
              <w:t>$100</w:t>
            </w:r>
          </w:p>
        </w:tc>
      </w:tr>
      <w:tr w:rsidR="00DE13CA" w:rsidTr="00BF77DC" w14:paraId="058F5222" w14:textId="77777777">
        <w:trPr>
          <w:trHeight w:val="861"/>
        </w:trPr>
        <w:tc>
          <w:tcPr>
            <w:tcW w:w="1701" w:type="dxa"/>
          </w:tcPr>
          <w:p w:rsidRPr="00832783" w:rsidR="00BB0FBA" w:rsidP="005F7893" w:rsidRDefault="00B34D16" w14:paraId="7339AF45" w14:textId="77777777">
            <w:pPr>
              <w:pStyle w:val="TableParagraph"/>
              <w:ind w:right="547"/>
              <w:rPr>
                <w:b/>
                <w:sz w:val="20"/>
                <w:szCs w:val="20"/>
              </w:rPr>
            </w:pPr>
            <w:r>
              <w:rPr>
                <w:b/>
                <w:sz w:val="20"/>
                <w:szCs w:val="20"/>
              </w:rPr>
              <w:t>Initial</w:t>
            </w:r>
            <w:r>
              <w:rPr>
                <w:b/>
                <w:spacing w:val="-13"/>
                <w:sz w:val="20"/>
                <w:szCs w:val="20"/>
              </w:rPr>
              <w:t xml:space="preserve"> </w:t>
            </w:r>
            <w:r>
              <w:rPr>
                <w:b/>
                <w:sz w:val="20"/>
                <w:szCs w:val="20"/>
              </w:rPr>
              <w:t xml:space="preserve">Offer </w:t>
            </w:r>
            <w:r>
              <w:rPr>
                <w:b/>
                <w:spacing w:val="-2"/>
                <w:sz w:val="20"/>
                <w:szCs w:val="20"/>
              </w:rPr>
              <w:t>Period</w:t>
            </w:r>
          </w:p>
        </w:tc>
        <w:tc>
          <w:tcPr>
            <w:tcW w:w="7087" w:type="dxa"/>
            <w:gridSpan w:val="5"/>
          </w:tcPr>
          <w:p w:rsidRPr="00832783" w:rsidR="00BB0FBA" w:rsidP="005F7893" w:rsidRDefault="00B34D16" w14:paraId="0705D37F" w14:textId="0D9AC7D1">
            <w:pPr>
              <w:pStyle w:val="TableParagraph"/>
              <w:spacing w:before="119"/>
              <w:ind w:right="90"/>
              <w:jc w:val="both"/>
              <w:rPr>
                <w:sz w:val="20"/>
                <w:szCs w:val="20"/>
              </w:rPr>
            </w:pPr>
            <w:r>
              <w:rPr>
                <w:sz w:val="20"/>
                <w:szCs w:val="20"/>
              </w:rPr>
              <w:t xml:space="preserve">the Initial Offer Period for all launched Shares shall commence at </w:t>
            </w:r>
            <w:r w:rsidR="00B44A23">
              <w:rPr>
                <w:sz w:val="20"/>
                <w:szCs w:val="20"/>
              </w:rPr>
              <w:t>9</w:t>
            </w:r>
            <w:r>
              <w:rPr>
                <w:sz w:val="20"/>
                <w:szCs w:val="20"/>
              </w:rPr>
              <w:t xml:space="preserve">a.m. on </w:t>
            </w:r>
            <w:r w:rsidR="00B44A23">
              <w:rPr>
                <w:sz w:val="20"/>
                <w:szCs w:val="20"/>
              </w:rPr>
              <w:t xml:space="preserve">26 February </w:t>
            </w:r>
            <w:r>
              <w:rPr>
                <w:sz w:val="20"/>
                <w:szCs w:val="20"/>
              </w:rPr>
              <w:t>202</w:t>
            </w:r>
            <w:r w:rsidR="00B44A23">
              <w:rPr>
                <w:sz w:val="20"/>
                <w:szCs w:val="20"/>
              </w:rPr>
              <w:t>5</w:t>
            </w:r>
            <w:r>
              <w:rPr>
                <w:sz w:val="20"/>
                <w:szCs w:val="20"/>
              </w:rPr>
              <w:t xml:space="preserve"> and end at the earlier of either </w:t>
            </w:r>
            <w:r w:rsidR="00B44A23">
              <w:rPr>
                <w:sz w:val="20"/>
                <w:szCs w:val="20"/>
              </w:rPr>
              <w:t>3</w:t>
            </w:r>
            <w:r>
              <w:rPr>
                <w:sz w:val="20"/>
                <w:szCs w:val="20"/>
              </w:rPr>
              <w:t>p.m.</w:t>
            </w:r>
            <w:r w:rsidR="00B44A23">
              <w:rPr>
                <w:sz w:val="20"/>
                <w:szCs w:val="20"/>
              </w:rPr>
              <w:t xml:space="preserve"> </w:t>
            </w:r>
            <w:r>
              <w:rPr>
                <w:sz w:val="20"/>
                <w:szCs w:val="20"/>
              </w:rPr>
              <w:t xml:space="preserve">on </w:t>
            </w:r>
            <w:r w:rsidR="00B44A23">
              <w:rPr>
                <w:sz w:val="20"/>
                <w:szCs w:val="20"/>
              </w:rPr>
              <w:t>25 August</w:t>
            </w:r>
            <w:r>
              <w:rPr>
                <w:sz w:val="20"/>
                <w:szCs w:val="20"/>
              </w:rPr>
              <w:t xml:space="preserve"> 202</w:t>
            </w:r>
            <w:r w:rsidR="00B44A23">
              <w:rPr>
                <w:sz w:val="20"/>
                <w:szCs w:val="20"/>
              </w:rPr>
              <w:t>5</w:t>
            </w:r>
            <w:r>
              <w:rPr>
                <w:sz w:val="20"/>
                <w:szCs w:val="20"/>
              </w:rPr>
              <w:t xml:space="preserve">, the date of the first subscription therein, or such other date and/or time as the Directors may determine and notify to the Central Bank. </w:t>
            </w:r>
          </w:p>
        </w:tc>
      </w:tr>
      <w:tr w:rsidR="00DE13CA" w:rsidTr="00BF77DC" w14:paraId="44D6E40F" w14:textId="77777777">
        <w:trPr>
          <w:trHeight w:val="861"/>
        </w:trPr>
        <w:tc>
          <w:tcPr>
            <w:tcW w:w="1701" w:type="dxa"/>
          </w:tcPr>
          <w:p w:rsidRPr="00832783" w:rsidR="00BB0FBA" w:rsidP="005F7893" w:rsidRDefault="00B34D16" w14:paraId="664E8F28" w14:textId="77777777">
            <w:pPr>
              <w:pStyle w:val="TableParagraph"/>
              <w:rPr>
                <w:b/>
                <w:sz w:val="20"/>
                <w:szCs w:val="20"/>
              </w:rPr>
            </w:pPr>
            <w:r>
              <w:rPr>
                <w:b/>
                <w:spacing w:val="-2"/>
                <w:sz w:val="20"/>
                <w:szCs w:val="20"/>
              </w:rPr>
              <w:t>Investment Management Agreement</w:t>
            </w:r>
          </w:p>
        </w:tc>
        <w:tc>
          <w:tcPr>
            <w:tcW w:w="7087" w:type="dxa"/>
            <w:gridSpan w:val="5"/>
          </w:tcPr>
          <w:p w:rsidRPr="00832783" w:rsidR="00BB0FBA" w:rsidP="005F7893" w:rsidRDefault="00B34D16" w14:paraId="6ED6E332" w14:textId="28180354">
            <w:pPr>
              <w:pStyle w:val="TableParagraph"/>
              <w:spacing w:before="119"/>
              <w:ind w:right="90"/>
              <w:jc w:val="both"/>
              <w:rPr>
                <w:sz w:val="20"/>
                <w:szCs w:val="20"/>
              </w:rPr>
            </w:pPr>
            <w:r>
              <w:rPr>
                <w:sz w:val="20"/>
                <w:szCs w:val="20"/>
              </w:rPr>
              <w:t xml:space="preserve">means the agreement made between the ICAV, the Manager and the Investment Manager dated </w:t>
            </w:r>
            <w:r w:rsidR="00B44A23">
              <w:rPr>
                <w:sz w:val="20"/>
                <w:szCs w:val="20"/>
              </w:rPr>
              <w:t>25 February</w:t>
            </w:r>
            <w:r>
              <w:rPr>
                <w:sz w:val="20"/>
                <w:szCs w:val="20"/>
              </w:rPr>
              <w:t xml:space="preserve"> </w:t>
            </w:r>
            <w:r w:rsidR="00B44A23">
              <w:rPr>
                <w:sz w:val="20"/>
                <w:szCs w:val="20"/>
              </w:rPr>
              <w:t>2025</w:t>
            </w:r>
            <w:r>
              <w:rPr>
                <w:sz w:val="20"/>
                <w:szCs w:val="20"/>
              </w:rPr>
              <w:t xml:space="preserve"> as may be amended or supplemented from time to time in accordance with the Central Bank Rules pursuant to which the latter was appointed investment manager of the Fund.</w:t>
            </w:r>
          </w:p>
        </w:tc>
      </w:tr>
      <w:tr w:rsidR="00DE13CA" w:rsidTr="00BF77DC" w14:paraId="48AF1799" w14:textId="77777777">
        <w:trPr>
          <w:trHeight w:val="652"/>
        </w:trPr>
        <w:tc>
          <w:tcPr>
            <w:tcW w:w="1701" w:type="dxa"/>
          </w:tcPr>
          <w:p w:rsidRPr="00832783" w:rsidR="00BB0FBA" w:rsidP="005F7893" w:rsidRDefault="00B34D16" w14:paraId="02F7E6B3" w14:textId="77777777">
            <w:pPr>
              <w:pStyle w:val="TableParagraph"/>
              <w:rPr>
                <w:b/>
                <w:sz w:val="20"/>
                <w:szCs w:val="20"/>
              </w:rPr>
            </w:pPr>
            <w:r>
              <w:rPr>
                <w:b/>
                <w:spacing w:val="-2"/>
                <w:sz w:val="20"/>
                <w:szCs w:val="20"/>
              </w:rPr>
              <w:t>Investment Manager</w:t>
            </w:r>
          </w:p>
        </w:tc>
        <w:tc>
          <w:tcPr>
            <w:tcW w:w="7087" w:type="dxa"/>
            <w:gridSpan w:val="5"/>
          </w:tcPr>
          <w:p w:rsidRPr="00832783" w:rsidR="00BB0FBA" w:rsidP="005F7893" w:rsidRDefault="00B34D16" w14:paraId="7B5A0CEF" w14:textId="77777777">
            <w:pPr>
              <w:pStyle w:val="TableParagraph"/>
              <w:spacing w:before="119"/>
              <w:ind w:right="91"/>
              <w:rPr>
                <w:sz w:val="20"/>
                <w:szCs w:val="20"/>
              </w:rPr>
            </w:pPr>
            <w:r>
              <w:rPr>
                <w:sz w:val="20"/>
                <w:szCs w:val="20"/>
              </w:rPr>
              <w:t>means Leo Capital Corp (Hong Kong) Limited.</w:t>
            </w:r>
          </w:p>
        </w:tc>
      </w:tr>
      <w:tr w:rsidR="00DE13CA" w:rsidTr="00BF77DC" w14:paraId="33A175AA" w14:textId="77777777">
        <w:trPr>
          <w:trHeight w:val="861"/>
        </w:trPr>
        <w:tc>
          <w:tcPr>
            <w:tcW w:w="1701" w:type="dxa"/>
          </w:tcPr>
          <w:p w:rsidR="00074B18" w:rsidP="00074B18" w:rsidRDefault="00B34D16" w14:paraId="2840057C" w14:textId="6C0F5803">
            <w:pPr>
              <w:pStyle w:val="TableParagraph"/>
              <w:spacing w:before="116"/>
              <w:rPr>
                <w:b/>
                <w:spacing w:val="-2"/>
                <w:sz w:val="20"/>
                <w:szCs w:val="20"/>
              </w:rPr>
            </w:pPr>
            <w:r>
              <w:rPr>
                <w:b/>
                <w:spacing w:val="-2"/>
                <w:sz w:val="20"/>
                <w:szCs w:val="20"/>
              </w:rPr>
              <w:t>Maturity Date</w:t>
            </w:r>
          </w:p>
        </w:tc>
        <w:tc>
          <w:tcPr>
            <w:tcW w:w="7087" w:type="dxa"/>
            <w:gridSpan w:val="5"/>
          </w:tcPr>
          <w:p w:rsidR="00074B18" w:rsidP="00CC73A5" w:rsidRDefault="00B34D16" w14:paraId="3B1F1CD2" w14:textId="23B060CE">
            <w:pPr>
              <w:pStyle w:val="TableParagraph"/>
              <w:spacing w:before="119"/>
              <w:ind w:right="91"/>
              <w:jc w:val="both"/>
              <w:rPr>
                <w:sz w:val="20"/>
                <w:szCs w:val="20"/>
              </w:rPr>
            </w:pPr>
            <w:r>
              <w:rPr>
                <w:sz w:val="20"/>
                <w:szCs w:val="20"/>
              </w:rPr>
              <w:t xml:space="preserve">30 November 2034 (or, if such day is not a Business Day, the following Business Day), provided that the Directors may in their absolute discretion and upon reasonable notice to Shareholder determine to specific a later date where this is in the interests of the Fund. </w:t>
            </w:r>
          </w:p>
        </w:tc>
      </w:tr>
      <w:tr w:rsidR="00DE13CA" w:rsidTr="00BF77DC" w14:paraId="186A190B" w14:textId="77777777">
        <w:trPr>
          <w:trHeight w:val="861"/>
        </w:trPr>
        <w:tc>
          <w:tcPr>
            <w:tcW w:w="1701" w:type="dxa"/>
          </w:tcPr>
          <w:p w:rsidRPr="00832783" w:rsidR="00074B18" w:rsidP="00074B18" w:rsidRDefault="00B34D16" w14:paraId="4BA98384" w14:textId="77777777">
            <w:pPr>
              <w:pStyle w:val="TableParagraph"/>
              <w:spacing w:before="116"/>
              <w:rPr>
                <w:b/>
                <w:sz w:val="20"/>
                <w:szCs w:val="20"/>
              </w:rPr>
            </w:pPr>
            <w:r>
              <w:rPr>
                <w:b/>
                <w:spacing w:val="-2"/>
                <w:sz w:val="20"/>
                <w:szCs w:val="20"/>
              </w:rPr>
              <w:t>Minimum Redemption Amount</w:t>
            </w:r>
          </w:p>
        </w:tc>
        <w:tc>
          <w:tcPr>
            <w:tcW w:w="7087" w:type="dxa"/>
            <w:gridSpan w:val="5"/>
          </w:tcPr>
          <w:p w:rsidRPr="00832783" w:rsidR="00074B18" w:rsidP="00074B18" w:rsidRDefault="00B34D16" w14:paraId="412736B2" w14:textId="77777777">
            <w:pPr>
              <w:pStyle w:val="TableParagraph"/>
              <w:spacing w:before="119"/>
              <w:ind w:right="91"/>
              <w:rPr>
                <w:sz w:val="20"/>
                <w:szCs w:val="20"/>
              </w:rPr>
            </w:pPr>
            <w:r>
              <w:rPr>
                <w:sz w:val="20"/>
                <w:szCs w:val="20"/>
              </w:rPr>
              <w:t>$100,000 (or its currency equivalent, if relevant).</w:t>
            </w:r>
          </w:p>
        </w:tc>
      </w:tr>
      <w:tr w:rsidR="00DE13CA" w:rsidTr="00BF77DC" w14:paraId="667BCB18" w14:textId="77777777">
        <w:trPr>
          <w:trHeight w:val="861"/>
        </w:trPr>
        <w:tc>
          <w:tcPr>
            <w:tcW w:w="1701" w:type="dxa"/>
          </w:tcPr>
          <w:p w:rsidRPr="00832783" w:rsidR="00074B18" w:rsidP="00074B18" w:rsidRDefault="00B34D16" w14:paraId="394F6E53" w14:textId="77777777">
            <w:pPr>
              <w:pStyle w:val="TableParagraph"/>
              <w:rPr>
                <w:b/>
                <w:sz w:val="20"/>
                <w:szCs w:val="20"/>
              </w:rPr>
            </w:pPr>
            <w:r>
              <w:rPr>
                <w:b/>
                <w:spacing w:val="-2"/>
                <w:sz w:val="20"/>
                <w:szCs w:val="20"/>
              </w:rPr>
              <w:lastRenderedPageBreak/>
              <w:t>Minimum Subscription Amount</w:t>
            </w:r>
          </w:p>
        </w:tc>
        <w:tc>
          <w:tcPr>
            <w:tcW w:w="7087" w:type="dxa"/>
            <w:gridSpan w:val="5"/>
          </w:tcPr>
          <w:p w:rsidRPr="00832783" w:rsidR="00074B18" w:rsidP="00074B18" w:rsidRDefault="00B34D16" w14:paraId="374829E3" w14:textId="77777777">
            <w:pPr>
              <w:pStyle w:val="TableParagraph"/>
              <w:spacing w:before="119"/>
              <w:ind w:right="91"/>
              <w:rPr>
                <w:sz w:val="20"/>
                <w:szCs w:val="20"/>
              </w:rPr>
            </w:pPr>
            <w:r>
              <w:rPr>
                <w:sz w:val="20"/>
                <w:szCs w:val="20"/>
              </w:rPr>
              <w:t>$100,000 (or its currency equivalent, if relevant).</w:t>
            </w:r>
          </w:p>
        </w:tc>
      </w:tr>
      <w:tr w:rsidR="00DE13CA" w:rsidTr="00BF77DC" w14:paraId="7F779135" w14:textId="77777777">
        <w:trPr>
          <w:trHeight w:val="448"/>
        </w:trPr>
        <w:tc>
          <w:tcPr>
            <w:tcW w:w="1701" w:type="dxa"/>
          </w:tcPr>
          <w:p w:rsidRPr="00832783" w:rsidR="00074B18" w:rsidP="00074B18" w:rsidRDefault="00B34D16" w14:paraId="362B4B8F" w14:textId="77777777">
            <w:pPr>
              <w:pStyle w:val="TableParagraph"/>
              <w:rPr>
                <w:b/>
                <w:sz w:val="20"/>
                <w:szCs w:val="20"/>
              </w:rPr>
            </w:pPr>
            <w:r>
              <w:rPr>
                <w:b/>
                <w:sz w:val="20"/>
                <w:szCs w:val="20"/>
              </w:rPr>
              <w:t>Valuation</w:t>
            </w:r>
            <w:r>
              <w:rPr>
                <w:b/>
                <w:spacing w:val="-3"/>
                <w:sz w:val="20"/>
                <w:szCs w:val="20"/>
              </w:rPr>
              <w:t xml:space="preserve"> </w:t>
            </w:r>
            <w:r>
              <w:rPr>
                <w:b/>
                <w:spacing w:val="-2"/>
                <w:sz w:val="20"/>
                <w:szCs w:val="20"/>
              </w:rPr>
              <w:t>Point</w:t>
            </w:r>
          </w:p>
        </w:tc>
        <w:tc>
          <w:tcPr>
            <w:tcW w:w="7087" w:type="dxa"/>
            <w:gridSpan w:val="5"/>
          </w:tcPr>
          <w:p w:rsidRPr="00832783" w:rsidR="00074B18" w:rsidP="00074B18" w:rsidRDefault="00B34D16" w14:paraId="35FE7FBF" w14:textId="7B7522BE">
            <w:pPr>
              <w:pStyle w:val="TableParagraph"/>
              <w:spacing w:before="119"/>
              <w:rPr>
                <w:sz w:val="20"/>
                <w:szCs w:val="20"/>
              </w:rPr>
            </w:pPr>
            <w:r>
              <w:rPr>
                <w:sz w:val="20"/>
                <w:szCs w:val="20"/>
              </w:rPr>
              <w:t>means</w:t>
            </w:r>
            <w:r>
              <w:rPr>
                <w:spacing w:val="-2"/>
                <w:sz w:val="20"/>
                <w:szCs w:val="20"/>
              </w:rPr>
              <w:t xml:space="preserve"> </w:t>
            </w:r>
            <w:r>
              <w:rPr>
                <w:sz w:val="20"/>
                <w:szCs w:val="20"/>
              </w:rPr>
              <w:t>11p.m. Irish time</w:t>
            </w:r>
            <w:r>
              <w:rPr>
                <w:spacing w:val="-2"/>
                <w:sz w:val="20"/>
                <w:szCs w:val="20"/>
              </w:rPr>
              <w:t xml:space="preserve"> </w:t>
            </w:r>
            <w:r>
              <w:rPr>
                <w:sz w:val="20"/>
                <w:szCs w:val="20"/>
              </w:rPr>
              <w:t>on</w:t>
            </w:r>
            <w:r>
              <w:rPr>
                <w:spacing w:val="-1"/>
                <w:sz w:val="20"/>
                <w:szCs w:val="20"/>
              </w:rPr>
              <w:t xml:space="preserve"> </w:t>
            </w:r>
            <w:r>
              <w:rPr>
                <w:sz w:val="20"/>
                <w:szCs w:val="20"/>
              </w:rPr>
              <w:t>the</w:t>
            </w:r>
            <w:r>
              <w:rPr>
                <w:spacing w:val="-5"/>
                <w:sz w:val="20"/>
                <w:szCs w:val="20"/>
              </w:rPr>
              <w:t xml:space="preserve"> </w:t>
            </w:r>
            <w:r>
              <w:rPr>
                <w:sz w:val="20"/>
                <w:szCs w:val="20"/>
              </w:rPr>
              <w:t>relevant</w:t>
            </w:r>
            <w:r>
              <w:rPr>
                <w:spacing w:val="-3"/>
                <w:sz w:val="20"/>
                <w:szCs w:val="20"/>
              </w:rPr>
              <w:t xml:space="preserve"> </w:t>
            </w:r>
            <w:r>
              <w:rPr>
                <w:spacing w:val="-4"/>
                <w:sz w:val="20"/>
                <w:szCs w:val="20"/>
              </w:rPr>
              <w:t>Dealing Day.</w:t>
            </w:r>
          </w:p>
        </w:tc>
      </w:tr>
      <w:tr w:rsidR="00DE13CA" w:rsidTr="00BF77DC" w14:paraId="5C8F6ACC" w14:textId="77777777">
        <w:trPr>
          <w:trHeight w:val="448"/>
        </w:trPr>
        <w:tc>
          <w:tcPr>
            <w:tcW w:w="1701" w:type="dxa"/>
            <w:tcBorders>
              <w:top w:val="single" w:color="000000" w:sz="4" w:space="0"/>
              <w:left w:val="single" w:color="000000" w:sz="4" w:space="0"/>
              <w:bottom w:val="single" w:color="000000" w:sz="4" w:space="0"/>
              <w:right w:val="single" w:color="000000" w:sz="4" w:space="0"/>
            </w:tcBorders>
          </w:tcPr>
          <w:p w:rsidRPr="00832783" w:rsidR="00074B18" w:rsidP="00074B18" w:rsidRDefault="00B34D16" w14:paraId="290AA1C1" w14:textId="77777777">
            <w:pPr>
              <w:pStyle w:val="TableParagraph"/>
              <w:rPr>
                <w:b/>
                <w:sz w:val="20"/>
                <w:szCs w:val="20"/>
              </w:rPr>
            </w:pPr>
            <w:r>
              <w:rPr>
                <w:b/>
                <w:sz w:val="20"/>
                <w:szCs w:val="20"/>
              </w:rPr>
              <w:t>Website</w:t>
            </w:r>
          </w:p>
        </w:tc>
        <w:tc>
          <w:tcPr>
            <w:tcW w:w="7087" w:type="dxa"/>
            <w:gridSpan w:val="5"/>
            <w:tcBorders>
              <w:top w:val="single" w:color="000000" w:sz="4" w:space="0"/>
              <w:left w:val="single" w:color="000000" w:sz="4" w:space="0"/>
              <w:bottom w:val="single" w:color="000000" w:sz="4" w:space="0"/>
              <w:right w:val="single" w:color="000000" w:sz="4" w:space="0"/>
            </w:tcBorders>
          </w:tcPr>
          <w:p w:rsidRPr="00832783" w:rsidR="00074B18" w:rsidP="00074B18" w:rsidRDefault="00B34D16" w14:paraId="17EC3A90" w14:textId="77777777">
            <w:pPr>
              <w:pStyle w:val="TableParagraph"/>
              <w:spacing w:before="119"/>
              <w:rPr>
                <w:sz w:val="20"/>
                <w:szCs w:val="20"/>
              </w:rPr>
            </w:pPr>
            <w:r>
              <w:rPr>
                <w:sz w:val="20"/>
                <w:szCs w:val="20"/>
              </w:rPr>
              <w:t>means www.waystone.com.</w:t>
            </w:r>
          </w:p>
        </w:tc>
      </w:tr>
    </w:tbl>
    <w:p w:rsidRPr="00832783" w:rsidR="00BB0FBA" w:rsidP="00BF77DC" w:rsidRDefault="00BB0FBA" w14:paraId="0500EEB4" w14:textId="77777777">
      <w:pPr>
        <w:pStyle w:val="BodyText"/>
        <w:spacing w:before="78"/>
        <w:ind w:right="521"/>
        <w:jc w:val="both"/>
        <w:rPr>
          <w:sz w:val="20"/>
          <w:szCs w:val="20"/>
        </w:rPr>
      </w:pPr>
    </w:p>
    <w:p w:rsidRPr="00653D4F" w:rsidR="00BB0FBA" w:rsidP="00BF77DC" w:rsidRDefault="00B34D16" w14:paraId="0FD213A9" w14:textId="77777777">
      <w:pPr>
        <w:pStyle w:val="BodyText"/>
        <w:spacing w:before="119"/>
        <w:ind w:left="1943" w:right="518"/>
        <w:jc w:val="both"/>
        <w:rPr>
          <w:sz w:val="20"/>
          <w:szCs w:val="20"/>
        </w:rPr>
      </w:pPr>
      <w:r>
        <w:rPr>
          <w:sz w:val="20"/>
          <w:szCs w:val="20"/>
        </w:rPr>
        <w:t>^</w:t>
      </w:r>
      <w:r>
        <w:rPr>
          <w:spacing w:val="-14"/>
          <w:sz w:val="20"/>
          <w:szCs w:val="20"/>
        </w:rPr>
        <w:t xml:space="preserve"> </w:t>
      </w:r>
      <w:r>
        <w:rPr>
          <w:sz w:val="20"/>
          <w:szCs w:val="20"/>
        </w:rPr>
        <w:t>The</w:t>
      </w:r>
      <w:r>
        <w:rPr>
          <w:spacing w:val="-11"/>
          <w:sz w:val="20"/>
          <w:szCs w:val="20"/>
        </w:rPr>
        <w:t xml:space="preserve"> </w:t>
      </w:r>
      <w:r>
        <w:rPr>
          <w:sz w:val="20"/>
          <w:szCs w:val="20"/>
        </w:rPr>
        <w:t>Directors</w:t>
      </w:r>
      <w:r>
        <w:rPr>
          <w:spacing w:val="-11"/>
          <w:sz w:val="20"/>
          <w:szCs w:val="20"/>
        </w:rPr>
        <w:t xml:space="preserve"> </w:t>
      </w:r>
      <w:r>
        <w:rPr>
          <w:sz w:val="20"/>
          <w:szCs w:val="20"/>
        </w:rPr>
        <w:t>of</w:t>
      </w:r>
      <w:r>
        <w:rPr>
          <w:spacing w:val="-10"/>
          <w:sz w:val="20"/>
          <w:szCs w:val="20"/>
        </w:rPr>
        <w:t xml:space="preserve"> </w:t>
      </w:r>
      <w:r>
        <w:rPr>
          <w:sz w:val="20"/>
          <w:szCs w:val="20"/>
        </w:rPr>
        <w:t>the</w:t>
      </w:r>
      <w:r>
        <w:rPr>
          <w:spacing w:val="-11"/>
          <w:sz w:val="20"/>
          <w:szCs w:val="20"/>
        </w:rPr>
        <w:t xml:space="preserve"> </w:t>
      </w:r>
      <w:r>
        <w:rPr>
          <w:sz w:val="20"/>
          <w:szCs w:val="20"/>
        </w:rPr>
        <w:t>ICAV</w:t>
      </w:r>
      <w:r>
        <w:rPr>
          <w:spacing w:val="-10"/>
          <w:sz w:val="20"/>
          <w:szCs w:val="20"/>
        </w:rPr>
        <w:t xml:space="preserve"> </w:t>
      </w:r>
      <w:r>
        <w:rPr>
          <w:sz w:val="20"/>
          <w:szCs w:val="20"/>
        </w:rPr>
        <w:t>may</w:t>
      </w:r>
      <w:r>
        <w:rPr>
          <w:spacing w:val="-13"/>
          <w:sz w:val="20"/>
          <w:szCs w:val="20"/>
        </w:rPr>
        <w:t xml:space="preserve"> </w:t>
      </w:r>
      <w:r>
        <w:rPr>
          <w:sz w:val="20"/>
          <w:szCs w:val="20"/>
        </w:rPr>
        <w:t>create</w:t>
      </w:r>
      <w:r>
        <w:rPr>
          <w:spacing w:val="-11"/>
          <w:sz w:val="20"/>
          <w:szCs w:val="20"/>
        </w:rPr>
        <w:t xml:space="preserve"> </w:t>
      </w:r>
      <w:r>
        <w:rPr>
          <w:sz w:val="20"/>
          <w:szCs w:val="20"/>
        </w:rPr>
        <w:t>new</w:t>
      </w:r>
      <w:r>
        <w:rPr>
          <w:spacing w:val="-12"/>
          <w:sz w:val="20"/>
          <w:szCs w:val="20"/>
        </w:rPr>
        <w:t xml:space="preserve"> </w:t>
      </w:r>
      <w:r>
        <w:rPr>
          <w:sz w:val="20"/>
          <w:szCs w:val="20"/>
        </w:rPr>
        <w:t>Share</w:t>
      </w:r>
      <w:r>
        <w:rPr>
          <w:spacing w:val="-13"/>
          <w:sz w:val="20"/>
          <w:szCs w:val="20"/>
        </w:rPr>
        <w:t xml:space="preserve"> </w:t>
      </w:r>
      <w:r>
        <w:rPr>
          <w:sz w:val="20"/>
          <w:szCs w:val="20"/>
        </w:rPr>
        <w:t>Classes</w:t>
      </w:r>
      <w:r>
        <w:rPr>
          <w:spacing w:val="-11"/>
          <w:sz w:val="20"/>
          <w:szCs w:val="20"/>
        </w:rPr>
        <w:t xml:space="preserve"> </w:t>
      </w:r>
      <w:r>
        <w:rPr>
          <w:sz w:val="20"/>
          <w:szCs w:val="20"/>
        </w:rPr>
        <w:t>from</w:t>
      </w:r>
      <w:r>
        <w:rPr>
          <w:spacing w:val="-9"/>
          <w:sz w:val="20"/>
          <w:szCs w:val="20"/>
        </w:rPr>
        <w:t xml:space="preserve"> </w:t>
      </w:r>
      <w:r>
        <w:rPr>
          <w:sz w:val="20"/>
          <w:szCs w:val="20"/>
        </w:rPr>
        <w:t>time</w:t>
      </w:r>
      <w:r>
        <w:rPr>
          <w:spacing w:val="-11"/>
          <w:sz w:val="20"/>
          <w:szCs w:val="20"/>
        </w:rPr>
        <w:t xml:space="preserve"> </w:t>
      </w:r>
      <w:r>
        <w:rPr>
          <w:sz w:val="20"/>
          <w:szCs w:val="20"/>
        </w:rPr>
        <w:t>to</w:t>
      </w:r>
      <w:r>
        <w:rPr>
          <w:spacing w:val="-11"/>
          <w:sz w:val="20"/>
          <w:szCs w:val="20"/>
        </w:rPr>
        <w:t xml:space="preserve"> </w:t>
      </w:r>
      <w:r>
        <w:rPr>
          <w:sz w:val="20"/>
          <w:szCs w:val="20"/>
        </w:rPr>
        <w:t>time,</w:t>
      </w:r>
      <w:r>
        <w:rPr>
          <w:spacing w:val="-12"/>
          <w:sz w:val="20"/>
          <w:szCs w:val="20"/>
        </w:rPr>
        <w:t xml:space="preserve"> </w:t>
      </w:r>
      <w:r>
        <w:rPr>
          <w:sz w:val="20"/>
          <w:szCs w:val="20"/>
        </w:rPr>
        <w:t>provided</w:t>
      </w:r>
      <w:r>
        <w:rPr>
          <w:spacing w:val="-11"/>
          <w:sz w:val="20"/>
          <w:szCs w:val="20"/>
        </w:rPr>
        <w:t xml:space="preserve"> </w:t>
      </w:r>
      <w:r>
        <w:rPr>
          <w:sz w:val="20"/>
          <w:szCs w:val="20"/>
        </w:rPr>
        <w:t>that</w:t>
      </w:r>
      <w:r>
        <w:rPr>
          <w:spacing w:val="-12"/>
          <w:sz w:val="20"/>
          <w:szCs w:val="20"/>
        </w:rPr>
        <w:t xml:space="preserve"> </w:t>
      </w:r>
      <w:r>
        <w:rPr>
          <w:sz w:val="20"/>
          <w:szCs w:val="20"/>
        </w:rPr>
        <w:t>the</w:t>
      </w:r>
      <w:r>
        <w:rPr>
          <w:spacing w:val="-11"/>
          <w:sz w:val="20"/>
          <w:szCs w:val="20"/>
        </w:rPr>
        <w:t xml:space="preserve"> </w:t>
      </w:r>
      <w:r>
        <w:rPr>
          <w:sz w:val="20"/>
          <w:szCs w:val="20"/>
        </w:rPr>
        <w:t>creation of any such new Share Classes is notified in advance to and cleared by the Central Bank.</w:t>
      </w:r>
      <w:r>
        <w:rPr>
          <w:spacing w:val="-1"/>
          <w:sz w:val="20"/>
          <w:szCs w:val="20"/>
        </w:rPr>
        <w:t xml:space="preserve"> </w:t>
      </w:r>
      <w:r>
        <w:rPr>
          <w:sz w:val="20"/>
          <w:szCs w:val="20"/>
        </w:rPr>
        <w:t>A separate pool of assets will not be maintained for each of the Share Classes.</w:t>
      </w:r>
    </w:p>
    <w:p w:rsidRPr="00832783" w:rsidR="00BB0FBA" w:rsidP="00BB0FBA" w:rsidRDefault="00BB0FBA" w14:paraId="0948EA94" w14:textId="77777777">
      <w:pPr>
        <w:jc w:val="both"/>
        <w:rPr>
          <w:sz w:val="20"/>
          <w:szCs w:val="20"/>
        </w:rPr>
        <w:sectPr w:rsidRPr="00832783" w:rsidR="00BB0FBA" w:rsidSect="00BB0FBA">
          <w:headerReference w:type="even" r:id="rId9"/>
          <w:headerReference w:type="default" r:id="rId10"/>
          <w:footerReference w:type="even" r:id="rId11"/>
          <w:footerReference w:type="default" r:id="rId12"/>
          <w:headerReference w:type="first" r:id="rId13"/>
          <w:footerReference w:type="first" r:id="rId14"/>
          <w:pgSz w:w="11910" w:h="16840"/>
          <w:pgMar w:top="1600" w:right="700" w:bottom="860" w:left="0" w:header="0" w:footer="663" w:gutter="0"/>
          <w:cols w:space="708"/>
        </w:sectPr>
      </w:pPr>
    </w:p>
    <w:p w:rsidR="00BB0FBA" w:rsidP="00BB0FBA" w:rsidRDefault="00B34D16" w14:paraId="4D5BDB60" w14:textId="77777777">
      <w:pPr>
        <w:pStyle w:val="Heading1"/>
        <w:numPr>
          <w:ilvl w:val="0"/>
          <w:numId w:val="12"/>
        </w:numPr>
        <w:tabs>
          <w:tab w:val="left" w:pos="567"/>
        </w:tabs>
        <w:spacing w:before="0"/>
        <w:ind w:left="0" w:hanging="1944"/>
        <w:jc w:val="both"/>
        <w:rPr>
          <w:sz w:val="20"/>
          <w:szCs w:val="20"/>
        </w:rPr>
      </w:pPr>
      <w:bookmarkStart w:name="2__Information_on_the_Fund" w:id="2"/>
      <w:bookmarkEnd w:id="2"/>
      <w:r>
        <w:rPr>
          <w:sz w:val="20"/>
          <w:szCs w:val="20"/>
        </w:rPr>
        <w:lastRenderedPageBreak/>
        <w:t>Information</w:t>
      </w:r>
      <w:r>
        <w:rPr>
          <w:spacing w:val="-2"/>
          <w:sz w:val="20"/>
          <w:szCs w:val="20"/>
        </w:rPr>
        <w:t xml:space="preserve"> </w:t>
      </w:r>
      <w:r>
        <w:rPr>
          <w:sz w:val="20"/>
          <w:szCs w:val="20"/>
        </w:rPr>
        <w:t>on</w:t>
      </w:r>
      <w:r>
        <w:rPr>
          <w:spacing w:val="-5"/>
          <w:sz w:val="20"/>
          <w:szCs w:val="20"/>
        </w:rPr>
        <w:t xml:space="preserve"> </w:t>
      </w:r>
      <w:r>
        <w:rPr>
          <w:sz w:val="20"/>
          <w:szCs w:val="20"/>
        </w:rPr>
        <w:t>the Fund</w:t>
      </w:r>
    </w:p>
    <w:p w:rsidRPr="00832783" w:rsidR="00BB0FBA" w:rsidP="00BB0FBA" w:rsidRDefault="00BB0FBA" w14:paraId="57FBC0C6" w14:textId="77777777">
      <w:pPr>
        <w:pStyle w:val="Heading1"/>
        <w:tabs>
          <w:tab w:val="left" w:pos="567"/>
        </w:tabs>
        <w:spacing w:before="0"/>
        <w:ind w:firstLine="0"/>
        <w:jc w:val="both"/>
        <w:rPr>
          <w:sz w:val="20"/>
          <w:szCs w:val="20"/>
        </w:rPr>
      </w:pPr>
    </w:p>
    <w:p w:rsidR="00BB0FBA" w:rsidP="00BB0FBA" w:rsidRDefault="00B34D16" w14:paraId="701F5008" w14:textId="77777777">
      <w:pPr>
        <w:pStyle w:val="Heading1"/>
        <w:numPr>
          <w:ilvl w:val="1"/>
          <w:numId w:val="12"/>
        </w:numPr>
        <w:tabs>
          <w:tab w:val="left" w:pos="567"/>
        </w:tabs>
        <w:spacing w:before="0"/>
        <w:ind w:left="853" w:hanging="1224"/>
        <w:jc w:val="both"/>
        <w:rPr>
          <w:b w:val="0"/>
          <w:bCs w:val="0"/>
          <w:sz w:val="20"/>
          <w:szCs w:val="20"/>
        </w:rPr>
      </w:pPr>
      <w:bookmarkStart w:name="2.1_Investment_Objective,_Investment_Pol" w:id="3"/>
      <w:bookmarkEnd w:id="3"/>
      <w:r>
        <w:rPr>
          <w:b w:val="0"/>
          <w:bCs w:val="0"/>
          <w:sz w:val="20"/>
          <w:szCs w:val="20"/>
        </w:rPr>
        <w:t>Investment Objective and Investment Policy</w:t>
      </w:r>
    </w:p>
    <w:p w:rsidRPr="0040216C" w:rsidR="00BB0FBA" w:rsidP="00BB0FBA" w:rsidRDefault="00B34D16" w14:paraId="7C4E3684" w14:textId="77777777">
      <w:pPr>
        <w:pStyle w:val="Heading1"/>
        <w:tabs>
          <w:tab w:val="left" w:pos="567"/>
        </w:tabs>
        <w:spacing w:before="0"/>
        <w:ind w:left="1224" w:firstLine="0"/>
        <w:jc w:val="both"/>
        <w:rPr>
          <w:b w:val="0"/>
          <w:bCs w:val="0"/>
          <w:sz w:val="20"/>
          <w:szCs w:val="20"/>
        </w:rPr>
      </w:pPr>
      <w:r>
        <w:rPr>
          <w:b w:val="0"/>
          <w:bCs w:val="0"/>
          <w:sz w:val="20"/>
          <w:szCs w:val="20"/>
        </w:rPr>
        <w:t xml:space="preserve"> </w:t>
      </w:r>
    </w:p>
    <w:p w:rsidR="00BB0FBA" w:rsidP="00BB0FBA" w:rsidRDefault="00B34D16" w14:paraId="5F8E70A5" w14:textId="77777777">
      <w:pPr>
        <w:pStyle w:val="ListParagraph"/>
        <w:tabs>
          <w:tab w:val="left" w:pos="1944"/>
        </w:tabs>
        <w:ind w:left="567" w:right="2685" w:firstLine="0"/>
        <w:jc w:val="both"/>
        <w:rPr>
          <w:rFonts w:ascii="Arial" w:hAnsi="Arial" w:cs="Arial"/>
          <w:sz w:val="20"/>
          <w:szCs w:val="20"/>
          <w:u w:val="single"/>
        </w:rPr>
      </w:pPr>
      <w:r>
        <w:rPr>
          <w:rFonts w:ascii="Arial" w:hAnsi="Arial" w:cs="Arial"/>
          <w:sz w:val="20"/>
          <w:szCs w:val="20"/>
          <w:u w:val="single"/>
        </w:rPr>
        <w:t>Investment Objective</w:t>
      </w:r>
    </w:p>
    <w:p w:rsidR="00BB0FBA" w:rsidP="00BB0FBA" w:rsidRDefault="00BB0FBA" w14:paraId="76844C2B" w14:textId="77777777">
      <w:pPr>
        <w:pStyle w:val="BodyText"/>
        <w:ind w:right="523"/>
        <w:jc w:val="both"/>
        <w:rPr>
          <w:sz w:val="20"/>
          <w:szCs w:val="20"/>
        </w:rPr>
      </w:pPr>
    </w:p>
    <w:p w:rsidRPr="00074B18" w:rsidR="007C67B2" w:rsidP="00074B18" w:rsidRDefault="00B34D16" w14:paraId="258CC9AA" w14:textId="353504AF">
      <w:pPr>
        <w:pStyle w:val="BodyText"/>
        <w:ind w:left="567" w:right="567"/>
        <w:jc w:val="both"/>
        <w:rPr>
          <w:sz w:val="20"/>
          <w:szCs w:val="20"/>
        </w:rPr>
      </w:pPr>
      <w:r>
        <w:rPr>
          <w:sz w:val="20"/>
          <w:szCs w:val="20"/>
        </w:rPr>
        <w:t xml:space="preserve">The investment objective of the Fund is to provide investors with a total return, </w:t>
      </w:r>
      <w:proofErr w:type="gramStart"/>
      <w:r>
        <w:rPr>
          <w:sz w:val="20"/>
          <w:szCs w:val="20"/>
        </w:rPr>
        <w:t>taking into account</w:t>
      </w:r>
      <w:proofErr w:type="gramEnd"/>
      <w:r>
        <w:rPr>
          <w:sz w:val="20"/>
          <w:szCs w:val="20"/>
        </w:rPr>
        <w:t xml:space="preserve"> both capital and income returns, through an actively managed, multi-asset portfolio, </w:t>
      </w:r>
      <w:bookmarkStart w:name="_Hlk177487905" w:id="4"/>
      <w:r>
        <w:rPr>
          <w:sz w:val="20"/>
          <w:szCs w:val="20"/>
        </w:rPr>
        <w:t xml:space="preserve">adjusting its allocation to decrease risk as it approaches the Target Period. </w:t>
      </w:r>
      <w:bookmarkEnd w:id="4"/>
    </w:p>
    <w:p w:rsidR="007C67B2" w:rsidP="00BB0FBA" w:rsidRDefault="007C67B2" w14:paraId="07C46020" w14:textId="77777777">
      <w:pPr>
        <w:pStyle w:val="ListParagraph"/>
        <w:tabs>
          <w:tab w:val="left" w:pos="1944"/>
        </w:tabs>
        <w:ind w:left="567" w:right="2685" w:firstLine="0"/>
        <w:jc w:val="both"/>
        <w:rPr>
          <w:rFonts w:ascii="Times New Roman" w:hAnsi="Times New Roman"/>
        </w:rPr>
      </w:pPr>
    </w:p>
    <w:p w:rsidRPr="0040216C" w:rsidR="00BB0FBA" w:rsidP="00BB0FBA" w:rsidRDefault="00B34D16" w14:paraId="2AF7A4F6" w14:textId="252140EC">
      <w:pPr>
        <w:pStyle w:val="ListParagraph"/>
        <w:tabs>
          <w:tab w:val="left" w:pos="1944"/>
        </w:tabs>
        <w:ind w:left="567" w:right="2685" w:firstLine="0"/>
        <w:jc w:val="both"/>
        <w:rPr>
          <w:rFonts w:ascii="Arial" w:hAnsi="Arial" w:cs="Arial"/>
          <w:sz w:val="20"/>
          <w:szCs w:val="20"/>
        </w:rPr>
      </w:pPr>
      <w:r>
        <w:rPr>
          <w:rFonts w:ascii="Arial" w:hAnsi="Arial" w:cs="Arial"/>
          <w:sz w:val="20"/>
          <w:szCs w:val="20"/>
          <w:u w:val="single"/>
        </w:rPr>
        <w:t>Investment</w:t>
      </w:r>
      <w:r>
        <w:rPr>
          <w:rFonts w:ascii="Arial" w:hAnsi="Arial" w:cs="Arial"/>
          <w:spacing w:val="-9"/>
          <w:sz w:val="20"/>
          <w:szCs w:val="20"/>
          <w:u w:val="single"/>
        </w:rPr>
        <w:t xml:space="preserve"> </w:t>
      </w:r>
      <w:r>
        <w:rPr>
          <w:rFonts w:ascii="Arial" w:hAnsi="Arial" w:cs="Arial"/>
          <w:spacing w:val="-2"/>
          <w:sz w:val="20"/>
          <w:szCs w:val="20"/>
          <w:u w:val="single"/>
        </w:rPr>
        <w:t>Policy</w:t>
      </w:r>
    </w:p>
    <w:p w:rsidRPr="00832783" w:rsidR="00BB0FBA" w:rsidP="00BB0FBA" w:rsidRDefault="00BB0FBA" w14:paraId="79802A16" w14:textId="77777777">
      <w:pPr>
        <w:pStyle w:val="BodyText"/>
        <w:spacing w:before="6"/>
        <w:rPr>
          <w:sz w:val="20"/>
          <w:szCs w:val="20"/>
        </w:rPr>
      </w:pPr>
    </w:p>
    <w:p w:rsidRPr="007D202F" w:rsidR="00BB0FBA" w:rsidP="00BB0FBA" w:rsidRDefault="00B34D16" w14:paraId="44DB7B16" w14:textId="7FB1E195">
      <w:pPr>
        <w:pStyle w:val="BodyText"/>
        <w:ind w:left="1223" w:right="523" w:hanging="656"/>
        <w:jc w:val="both"/>
        <w:rPr>
          <w:sz w:val="20"/>
          <w:szCs w:val="20"/>
        </w:rPr>
      </w:pPr>
      <w:bookmarkStart w:name="As_detailed_above,_the_Fund_is_passively" w:id="5"/>
      <w:bookmarkEnd w:id="5"/>
      <w:r>
        <w:rPr>
          <w:sz w:val="20"/>
          <w:szCs w:val="20"/>
        </w:rPr>
        <w:t xml:space="preserve">The Fund is actively managed and is not managed in reference to a benchmark. </w:t>
      </w:r>
    </w:p>
    <w:p w:rsidR="00353BF0" w:rsidP="00353BF0" w:rsidRDefault="00353BF0" w14:paraId="088766B6" w14:textId="77777777">
      <w:pPr>
        <w:pStyle w:val="BodyText"/>
        <w:ind w:right="523"/>
        <w:jc w:val="both"/>
        <w:rPr>
          <w:sz w:val="20"/>
          <w:szCs w:val="20"/>
        </w:rPr>
      </w:pPr>
    </w:p>
    <w:p w:rsidR="001D388D" w:rsidP="00353BF0" w:rsidRDefault="00B34D16" w14:paraId="7F7F1460" w14:textId="51CD4B96">
      <w:pPr>
        <w:pStyle w:val="BodyText"/>
        <w:ind w:left="567" w:right="523"/>
        <w:jc w:val="both"/>
        <w:rPr>
          <w:sz w:val="20"/>
          <w:szCs w:val="20"/>
        </w:rPr>
      </w:pPr>
      <w:proofErr w:type="gramStart"/>
      <w:r>
        <w:rPr>
          <w:sz w:val="20"/>
          <w:szCs w:val="20"/>
        </w:rPr>
        <w:t>In order to</w:t>
      </w:r>
      <w:proofErr w:type="gramEnd"/>
      <w:r>
        <w:rPr>
          <w:sz w:val="20"/>
          <w:szCs w:val="20"/>
        </w:rPr>
        <w:t xml:space="preserve"> achieve its investment objective, the Fund will invest in other EEA domiciled UCITS collective investment schemes structured as UCITS exchange traded funds (the “Underlying Funds”) and</w:t>
      </w:r>
      <w:r w:rsidR="0047531C">
        <w:rPr>
          <w:sz w:val="20"/>
          <w:szCs w:val="20"/>
        </w:rPr>
        <w:t xml:space="preserve">, subject to the limits set out below, in UCITS </w:t>
      </w:r>
      <w:r>
        <w:rPr>
          <w:sz w:val="20"/>
          <w:szCs w:val="20"/>
        </w:rPr>
        <w:t xml:space="preserve">eligible Exchange Traded Commodities. </w:t>
      </w:r>
    </w:p>
    <w:p w:rsidR="001D388D" w:rsidP="00353BF0" w:rsidRDefault="001D388D" w14:paraId="5C2008F2" w14:textId="77777777">
      <w:pPr>
        <w:pStyle w:val="BodyText"/>
        <w:ind w:left="567" w:right="523"/>
        <w:jc w:val="both"/>
        <w:rPr>
          <w:sz w:val="20"/>
          <w:szCs w:val="20"/>
        </w:rPr>
      </w:pPr>
    </w:p>
    <w:p w:rsidR="00353BF0" w:rsidP="00353BF0" w:rsidRDefault="00B34D16" w14:paraId="1F990885" w14:textId="0197A613">
      <w:pPr>
        <w:pStyle w:val="BodyText"/>
        <w:ind w:left="567" w:right="523"/>
        <w:jc w:val="both"/>
        <w:rPr>
          <w:sz w:val="20"/>
          <w:szCs w:val="20"/>
        </w:rPr>
      </w:pPr>
      <w:r>
        <w:rPr>
          <w:sz w:val="20"/>
          <w:szCs w:val="20"/>
        </w:rPr>
        <w:t xml:space="preserve">The underlying asset class exposure of the Underlying Funds invested in by the Fund will comprise global equities and global fixed income securities, as further detailed below. It is not expected that the Fund's exposure to emerging markets will exceed 20% of its assets. </w:t>
      </w:r>
    </w:p>
    <w:p w:rsidR="00BB0FBA" w:rsidP="00353BF0" w:rsidRDefault="00BB0FBA" w14:paraId="132AAC28" w14:textId="77777777">
      <w:pPr>
        <w:pStyle w:val="BodyText"/>
        <w:ind w:right="523"/>
        <w:jc w:val="both"/>
        <w:rPr>
          <w:sz w:val="20"/>
          <w:szCs w:val="20"/>
        </w:rPr>
      </w:pPr>
    </w:p>
    <w:p w:rsidR="00BB0FBA" w:rsidP="00BB0FBA" w:rsidRDefault="00B34D16" w14:paraId="671B23BD" w14:textId="19A8A9C5">
      <w:pPr>
        <w:pStyle w:val="BodyText"/>
        <w:ind w:left="567" w:right="523"/>
        <w:jc w:val="both"/>
        <w:rPr>
          <w:sz w:val="20"/>
          <w:szCs w:val="20"/>
        </w:rPr>
      </w:pPr>
      <w:r>
        <w:rPr>
          <w:sz w:val="20"/>
          <w:szCs w:val="20"/>
        </w:rPr>
        <w:t>The underlying asset class exposure of the</w:t>
      </w:r>
      <w:r w:rsidR="006D54DF">
        <w:rPr>
          <w:sz w:val="20"/>
          <w:szCs w:val="20"/>
        </w:rPr>
        <w:t xml:space="preserve"> UCITS eligible</w:t>
      </w:r>
      <w:r>
        <w:rPr>
          <w:sz w:val="20"/>
          <w:szCs w:val="20"/>
        </w:rPr>
        <w:t xml:space="preserve"> ETCs invested in by the Fund will comprise grains, energy, industrial metals, precious metals, livestock &amp; softs. As the Fund has a limited maturity, the Fund will only invest in </w:t>
      </w:r>
      <w:r w:rsidR="006D54DF">
        <w:rPr>
          <w:sz w:val="20"/>
          <w:szCs w:val="20"/>
        </w:rPr>
        <w:t xml:space="preserve">UCITS eligible </w:t>
      </w:r>
      <w:r>
        <w:rPr>
          <w:sz w:val="20"/>
          <w:szCs w:val="20"/>
        </w:rPr>
        <w:t xml:space="preserve">ETCs which may be sold (as determined at the time of purchase) before or on the Maturity Date. </w:t>
      </w:r>
    </w:p>
    <w:p w:rsidR="00353BF0" w:rsidP="00BB0FBA" w:rsidRDefault="00353BF0" w14:paraId="7EA0DED4" w14:textId="77777777">
      <w:pPr>
        <w:pStyle w:val="BodyText"/>
        <w:ind w:left="567" w:right="523"/>
        <w:jc w:val="both"/>
        <w:rPr>
          <w:sz w:val="20"/>
          <w:szCs w:val="20"/>
        </w:rPr>
      </w:pPr>
    </w:p>
    <w:p w:rsidR="00353BF0" w:rsidP="00BB0FBA" w:rsidRDefault="00B34D16" w14:paraId="719D1728" w14:textId="7685B471">
      <w:pPr>
        <w:pStyle w:val="BodyText"/>
        <w:ind w:left="567" w:right="523"/>
        <w:jc w:val="both"/>
        <w:rPr>
          <w:sz w:val="20"/>
          <w:szCs w:val="20"/>
        </w:rPr>
      </w:pPr>
      <w:r>
        <w:rPr>
          <w:sz w:val="20"/>
          <w:szCs w:val="20"/>
        </w:rPr>
        <w:t xml:space="preserve">The Fund’s assets are allocated across the Underlying Funds and </w:t>
      </w:r>
      <w:r w:rsidR="006D54DF">
        <w:rPr>
          <w:sz w:val="20"/>
          <w:szCs w:val="20"/>
        </w:rPr>
        <w:t xml:space="preserve">UCITS eligible </w:t>
      </w:r>
      <w:r>
        <w:rPr>
          <w:sz w:val="20"/>
          <w:szCs w:val="20"/>
        </w:rPr>
        <w:t xml:space="preserve">ETCs in accordance with the Investment Manager’s pre-determined “Glide Path” </w:t>
      </w:r>
      <w:r w:rsidR="009176E4">
        <w:rPr>
          <w:sz w:val="20"/>
          <w:szCs w:val="20"/>
        </w:rPr>
        <w:t>to align</w:t>
      </w:r>
      <w:r>
        <w:rPr>
          <w:sz w:val="20"/>
          <w:szCs w:val="20"/>
        </w:rPr>
        <w:t xml:space="preserve"> with the Target Period, as further detailed below. </w:t>
      </w:r>
    </w:p>
    <w:p w:rsidR="00FB026C" w:rsidP="00FB026C" w:rsidRDefault="00FB026C" w14:paraId="64082142" w14:textId="77777777">
      <w:pPr>
        <w:pStyle w:val="BodyText"/>
        <w:ind w:right="523"/>
        <w:jc w:val="both"/>
        <w:rPr>
          <w:sz w:val="20"/>
          <w:szCs w:val="20"/>
        </w:rPr>
      </w:pPr>
    </w:p>
    <w:p w:rsidRPr="00DB7EA5" w:rsidR="00FB026C" w:rsidP="00FB026C" w:rsidRDefault="00B34D16" w14:paraId="017CF914" w14:textId="108B7C39">
      <w:pPr>
        <w:pStyle w:val="BodyText"/>
        <w:ind w:left="567" w:right="523"/>
        <w:jc w:val="both"/>
        <w:rPr>
          <w:b/>
          <w:bCs/>
          <w:i/>
          <w:iCs/>
          <w:sz w:val="20"/>
          <w:szCs w:val="20"/>
        </w:rPr>
      </w:pPr>
      <w:r>
        <w:rPr>
          <w:b/>
          <w:bCs/>
          <w:i/>
          <w:iCs/>
          <w:sz w:val="20"/>
          <w:szCs w:val="20"/>
        </w:rPr>
        <w:t xml:space="preserve">Glide Path </w:t>
      </w:r>
    </w:p>
    <w:p w:rsidR="00BB0FBA" w:rsidP="00BB0FBA" w:rsidRDefault="00BB0FBA" w14:paraId="67EF6974" w14:textId="77777777">
      <w:pPr>
        <w:pStyle w:val="BodyText"/>
        <w:ind w:right="523"/>
        <w:jc w:val="both"/>
        <w:rPr>
          <w:sz w:val="20"/>
          <w:szCs w:val="20"/>
        </w:rPr>
      </w:pPr>
    </w:p>
    <w:p w:rsidR="008D131C" w:rsidP="00BB0FBA" w:rsidRDefault="00B34D16" w14:paraId="2AB53781" w14:textId="6F7132EA">
      <w:pPr>
        <w:pStyle w:val="BodyText"/>
        <w:ind w:left="567" w:right="523"/>
        <w:jc w:val="both"/>
        <w:rPr>
          <w:sz w:val="20"/>
          <w:szCs w:val="20"/>
        </w:rPr>
      </w:pPr>
      <w:r>
        <w:rPr>
          <w:sz w:val="20"/>
          <w:szCs w:val="20"/>
        </w:rPr>
        <w:t>The Investment Manager will seek to manage the Fund in accordance with the Target Period and will vary the asset exposure of the Underlying Funds in different market conditions. Under normal market conditions the Fund will seek a higher exposure to Underlying Funds which provide exposure to equity securities initially (which are generally considered to be more risky compared to fixed income securities) (“</w:t>
      </w:r>
      <w:r>
        <w:rPr>
          <w:b/>
          <w:bCs/>
          <w:sz w:val="20"/>
          <w:szCs w:val="20"/>
        </w:rPr>
        <w:t>Equity Funds</w:t>
      </w:r>
      <w:r>
        <w:rPr>
          <w:sz w:val="20"/>
          <w:szCs w:val="20"/>
        </w:rPr>
        <w:t>”), rotating the portfolio toward Underlying Funds which provide exposure to lower risk fixed income securities (which are generally considered to be less risky compared to equity securities) (“</w:t>
      </w:r>
      <w:r>
        <w:rPr>
          <w:b/>
          <w:bCs/>
          <w:sz w:val="20"/>
          <w:szCs w:val="20"/>
        </w:rPr>
        <w:t>Fixed Income Funds</w:t>
      </w:r>
      <w:r>
        <w:rPr>
          <w:sz w:val="20"/>
          <w:szCs w:val="20"/>
        </w:rPr>
        <w:t>”) over time as the Fund approaches the Target Period. The Fund’s allocation to Underlying Funds will become more conservative, moving from equity to fixed income exposure, to reduce investment risk closer to the Target Period. Under normal market conditions, the Investment Manager will invest the Fund’s assets in accordance with its pre-determined glide path targets, as follows:</w:t>
      </w:r>
    </w:p>
    <w:p w:rsidR="00F90BC4" w:rsidP="00BB0FBA" w:rsidRDefault="00F90BC4" w14:paraId="1B1224E7" w14:textId="77777777">
      <w:pPr>
        <w:pStyle w:val="BodyText"/>
        <w:ind w:left="567" w:right="523"/>
        <w:jc w:val="both"/>
        <w:rPr>
          <w:sz w:val="20"/>
          <w:szCs w:val="20"/>
        </w:rPr>
      </w:pPr>
    </w:p>
    <w:tbl>
      <w:tblPr>
        <w:tblStyle w:val="TableGrid"/>
        <w:tblW w:w="7938" w:type="dxa"/>
        <w:tblInd w:w="562" w:type="dxa"/>
        <w:tblLook w:val="04A0" w:firstRow="1" w:lastRow="0" w:firstColumn="1" w:lastColumn="0" w:noHBand="0" w:noVBand="1"/>
      </w:tblPr>
      <w:tblGrid>
        <w:gridCol w:w="1276"/>
        <w:gridCol w:w="1985"/>
        <w:gridCol w:w="2409"/>
        <w:gridCol w:w="2268"/>
      </w:tblGrid>
      <w:tr w:rsidR="00DE13CA" w:rsidTr="006D54DF" w14:paraId="5DA09A4A" w14:textId="77777777">
        <w:tc>
          <w:tcPr>
            <w:tcW w:w="1276" w:type="dxa"/>
          </w:tcPr>
          <w:p w:rsidRPr="005F798D" w:rsidR="005F798D" w:rsidP="00445C95" w:rsidRDefault="00B34D16" w14:paraId="50374ED0" w14:textId="77777777">
            <w:pPr>
              <w:rPr>
                <w:b/>
                <w:bCs/>
                <w:sz w:val="20"/>
                <w:szCs w:val="20"/>
              </w:rPr>
            </w:pPr>
            <w:r>
              <w:rPr>
                <w:b/>
                <w:bCs/>
                <w:sz w:val="20"/>
                <w:szCs w:val="20"/>
              </w:rPr>
              <w:t>Year(s)</w:t>
            </w:r>
          </w:p>
        </w:tc>
        <w:tc>
          <w:tcPr>
            <w:tcW w:w="1985" w:type="dxa"/>
          </w:tcPr>
          <w:p w:rsidRPr="005F798D" w:rsidR="005F798D" w:rsidP="00445C95" w:rsidRDefault="00B34D16" w14:paraId="74D74ED0" w14:textId="77777777">
            <w:pPr>
              <w:rPr>
                <w:b/>
                <w:bCs/>
                <w:sz w:val="20"/>
                <w:szCs w:val="20"/>
              </w:rPr>
            </w:pPr>
            <w:r>
              <w:rPr>
                <w:b/>
                <w:bCs/>
                <w:sz w:val="20"/>
                <w:szCs w:val="20"/>
              </w:rPr>
              <w:t>Equity Funds</w:t>
            </w:r>
          </w:p>
        </w:tc>
        <w:tc>
          <w:tcPr>
            <w:tcW w:w="2409" w:type="dxa"/>
          </w:tcPr>
          <w:p w:rsidRPr="005F798D" w:rsidR="005F798D" w:rsidP="00445C95" w:rsidRDefault="00B34D16" w14:paraId="02F765D2" w14:textId="77777777">
            <w:pPr>
              <w:rPr>
                <w:b/>
                <w:bCs/>
                <w:sz w:val="20"/>
                <w:szCs w:val="20"/>
              </w:rPr>
            </w:pPr>
            <w:r>
              <w:rPr>
                <w:b/>
                <w:bCs/>
                <w:sz w:val="20"/>
                <w:szCs w:val="20"/>
              </w:rPr>
              <w:t>Fixed Income Funds</w:t>
            </w:r>
          </w:p>
        </w:tc>
        <w:tc>
          <w:tcPr>
            <w:tcW w:w="2268" w:type="dxa"/>
          </w:tcPr>
          <w:p w:rsidRPr="005F798D" w:rsidR="005F798D" w:rsidP="00445C95" w:rsidRDefault="006D54DF" w14:paraId="6809DE43" w14:textId="2D9470E5">
            <w:pPr>
              <w:rPr>
                <w:b/>
                <w:bCs/>
                <w:sz w:val="20"/>
                <w:szCs w:val="20"/>
              </w:rPr>
            </w:pPr>
            <w:r w:rsidRPr="006D54DF">
              <w:rPr>
                <w:b/>
                <w:bCs/>
                <w:sz w:val="20"/>
                <w:szCs w:val="20"/>
              </w:rPr>
              <w:t xml:space="preserve">UCITS eligible </w:t>
            </w:r>
            <w:r w:rsidR="00B34D16">
              <w:rPr>
                <w:b/>
                <w:bCs/>
                <w:sz w:val="20"/>
                <w:szCs w:val="20"/>
              </w:rPr>
              <w:t>ETCs</w:t>
            </w:r>
          </w:p>
        </w:tc>
      </w:tr>
      <w:tr w:rsidR="00DE13CA" w:rsidTr="006D54DF" w14:paraId="38C76A85" w14:textId="77777777">
        <w:tc>
          <w:tcPr>
            <w:tcW w:w="1276" w:type="dxa"/>
          </w:tcPr>
          <w:p w:rsidRPr="005F798D" w:rsidR="005F798D" w:rsidP="00445C95" w:rsidRDefault="00B34D16" w14:paraId="754BF394" w14:textId="206AF87B">
            <w:pPr>
              <w:rPr>
                <w:b/>
                <w:bCs/>
                <w:sz w:val="20"/>
                <w:szCs w:val="20"/>
              </w:rPr>
            </w:pPr>
            <w:r>
              <w:rPr>
                <w:b/>
                <w:bCs/>
                <w:sz w:val="20"/>
                <w:szCs w:val="20"/>
              </w:rPr>
              <w:t>2024</w:t>
            </w:r>
          </w:p>
        </w:tc>
        <w:tc>
          <w:tcPr>
            <w:tcW w:w="1985" w:type="dxa"/>
          </w:tcPr>
          <w:p w:rsidRPr="005F798D" w:rsidR="005F798D" w:rsidP="00445C95" w:rsidRDefault="00B34D16" w14:paraId="7DCC67C7" w14:textId="3D3DE3D1">
            <w:pPr>
              <w:rPr>
                <w:sz w:val="20"/>
                <w:szCs w:val="20"/>
              </w:rPr>
            </w:pPr>
            <w:r>
              <w:rPr>
                <w:sz w:val="20"/>
                <w:szCs w:val="20"/>
              </w:rPr>
              <w:t>80-100%</w:t>
            </w:r>
          </w:p>
        </w:tc>
        <w:tc>
          <w:tcPr>
            <w:tcW w:w="2409" w:type="dxa"/>
          </w:tcPr>
          <w:p w:rsidRPr="005F798D" w:rsidR="005F798D" w:rsidP="00445C95" w:rsidRDefault="00B34D16" w14:paraId="25B6369B" w14:textId="4056E1CC">
            <w:pPr>
              <w:rPr>
                <w:sz w:val="20"/>
                <w:szCs w:val="20"/>
              </w:rPr>
            </w:pPr>
            <w:r>
              <w:rPr>
                <w:sz w:val="20"/>
                <w:szCs w:val="20"/>
              </w:rPr>
              <w:t>0-20%</w:t>
            </w:r>
          </w:p>
        </w:tc>
        <w:tc>
          <w:tcPr>
            <w:tcW w:w="2268" w:type="dxa"/>
          </w:tcPr>
          <w:p w:rsidRPr="005F798D" w:rsidR="005F798D" w:rsidP="00445C95" w:rsidRDefault="00B34D16" w14:paraId="5A598EC8" w14:textId="505586B2">
            <w:pPr>
              <w:rPr>
                <w:sz w:val="20"/>
                <w:szCs w:val="20"/>
              </w:rPr>
            </w:pPr>
            <w:r>
              <w:rPr>
                <w:sz w:val="20"/>
                <w:szCs w:val="20"/>
              </w:rPr>
              <w:t>0-10%</w:t>
            </w:r>
          </w:p>
        </w:tc>
      </w:tr>
      <w:tr w:rsidR="00DE13CA" w:rsidTr="006D54DF" w14:paraId="35D086AC" w14:textId="77777777">
        <w:tc>
          <w:tcPr>
            <w:tcW w:w="1276" w:type="dxa"/>
          </w:tcPr>
          <w:p w:rsidRPr="005F798D" w:rsidR="00635B63" w:rsidP="00635B63" w:rsidRDefault="00B34D16" w14:paraId="59A5F0BA" w14:textId="464A64E4">
            <w:pPr>
              <w:rPr>
                <w:b/>
                <w:bCs/>
                <w:sz w:val="20"/>
                <w:szCs w:val="20"/>
              </w:rPr>
            </w:pPr>
            <w:r>
              <w:rPr>
                <w:b/>
                <w:bCs/>
                <w:sz w:val="20"/>
                <w:szCs w:val="20"/>
              </w:rPr>
              <w:t>2025</w:t>
            </w:r>
          </w:p>
        </w:tc>
        <w:tc>
          <w:tcPr>
            <w:tcW w:w="1985" w:type="dxa"/>
          </w:tcPr>
          <w:p w:rsidRPr="005F798D" w:rsidR="00635B63" w:rsidP="00635B63" w:rsidRDefault="00B34D16" w14:paraId="4E11086E" w14:textId="052AE469">
            <w:pPr>
              <w:rPr>
                <w:sz w:val="20"/>
                <w:szCs w:val="20"/>
              </w:rPr>
            </w:pPr>
            <w:r>
              <w:rPr>
                <w:sz w:val="20"/>
                <w:szCs w:val="20"/>
              </w:rPr>
              <w:t>80-100%</w:t>
            </w:r>
          </w:p>
        </w:tc>
        <w:tc>
          <w:tcPr>
            <w:tcW w:w="2409" w:type="dxa"/>
          </w:tcPr>
          <w:p w:rsidRPr="005F798D" w:rsidR="00635B63" w:rsidP="00635B63" w:rsidRDefault="00B34D16" w14:paraId="7E7D3D46" w14:textId="77F30013">
            <w:pPr>
              <w:rPr>
                <w:sz w:val="20"/>
                <w:szCs w:val="20"/>
              </w:rPr>
            </w:pPr>
            <w:r>
              <w:rPr>
                <w:sz w:val="20"/>
                <w:szCs w:val="20"/>
              </w:rPr>
              <w:t>0-20%</w:t>
            </w:r>
          </w:p>
        </w:tc>
        <w:tc>
          <w:tcPr>
            <w:tcW w:w="2268" w:type="dxa"/>
          </w:tcPr>
          <w:p w:rsidRPr="005F798D" w:rsidR="00635B63" w:rsidP="00635B63" w:rsidRDefault="00B34D16" w14:paraId="25A4940D" w14:textId="017E21BD">
            <w:pPr>
              <w:rPr>
                <w:sz w:val="20"/>
                <w:szCs w:val="20"/>
              </w:rPr>
            </w:pPr>
            <w:r>
              <w:rPr>
                <w:sz w:val="20"/>
                <w:szCs w:val="20"/>
              </w:rPr>
              <w:t>0-10%</w:t>
            </w:r>
          </w:p>
        </w:tc>
      </w:tr>
      <w:tr w:rsidR="00DE13CA" w:rsidTr="006D54DF" w14:paraId="7FA4FC3B" w14:textId="77777777">
        <w:tc>
          <w:tcPr>
            <w:tcW w:w="1276" w:type="dxa"/>
          </w:tcPr>
          <w:p w:rsidRPr="005F798D" w:rsidR="00635B63" w:rsidP="00635B63" w:rsidRDefault="00B34D16" w14:paraId="56C10AAA" w14:textId="53975FEF">
            <w:pPr>
              <w:rPr>
                <w:b/>
                <w:bCs/>
                <w:sz w:val="20"/>
                <w:szCs w:val="20"/>
              </w:rPr>
            </w:pPr>
            <w:r>
              <w:rPr>
                <w:b/>
                <w:bCs/>
                <w:sz w:val="20"/>
                <w:szCs w:val="20"/>
              </w:rPr>
              <w:t>2026</w:t>
            </w:r>
          </w:p>
        </w:tc>
        <w:tc>
          <w:tcPr>
            <w:tcW w:w="1985" w:type="dxa"/>
          </w:tcPr>
          <w:p w:rsidRPr="005F798D" w:rsidR="00635B63" w:rsidP="00635B63" w:rsidRDefault="00B34D16" w14:paraId="46C311EB" w14:textId="5EE11232">
            <w:pPr>
              <w:rPr>
                <w:sz w:val="20"/>
                <w:szCs w:val="20"/>
              </w:rPr>
            </w:pPr>
            <w:r>
              <w:rPr>
                <w:sz w:val="20"/>
                <w:szCs w:val="20"/>
              </w:rPr>
              <w:t>80-100%</w:t>
            </w:r>
          </w:p>
        </w:tc>
        <w:tc>
          <w:tcPr>
            <w:tcW w:w="2409" w:type="dxa"/>
          </w:tcPr>
          <w:p w:rsidRPr="005F798D" w:rsidR="00635B63" w:rsidP="00635B63" w:rsidRDefault="00B34D16" w14:paraId="44934F5E" w14:textId="61BF036B">
            <w:pPr>
              <w:rPr>
                <w:sz w:val="20"/>
                <w:szCs w:val="20"/>
              </w:rPr>
            </w:pPr>
            <w:r>
              <w:rPr>
                <w:sz w:val="20"/>
                <w:szCs w:val="20"/>
              </w:rPr>
              <w:t>0-20%</w:t>
            </w:r>
          </w:p>
        </w:tc>
        <w:tc>
          <w:tcPr>
            <w:tcW w:w="2268" w:type="dxa"/>
          </w:tcPr>
          <w:p w:rsidRPr="005F798D" w:rsidR="00635B63" w:rsidP="00635B63" w:rsidRDefault="00B34D16" w14:paraId="6258B1AC" w14:textId="0F3709D8">
            <w:pPr>
              <w:rPr>
                <w:sz w:val="20"/>
                <w:szCs w:val="20"/>
              </w:rPr>
            </w:pPr>
            <w:r>
              <w:rPr>
                <w:sz w:val="20"/>
                <w:szCs w:val="20"/>
              </w:rPr>
              <w:t>0-10%</w:t>
            </w:r>
          </w:p>
        </w:tc>
      </w:tr>
      <w:tr w:rsidR="00DE13CA" w:rsidTr="006D54DF" w14:paraId="4060DDE3" w14:textId="77777777">
        <w:tc>
          <w:tcPr>
            <w:tcW w:w="1276" w:type="dxa"/>
          </w:tcPr>
          <w:p w:rsidRPr="005F798D" w:rsidR="00635B63" w:rsidP="00635B63" w:rsidRDefault="00B34D16" w14:paraId="41CF5B52" w14:textId="5A5D3C32">
            <w:pPr>
              <w:rPr>
                <w:b/>
                <w:bCs/>
                <w:sz w:val="20"/>
                <w:szCs w:val="20"/>
              </w:rPr>
            </w:pPr>
            <w:r>
              <w:rPr>
                <w:b/>
                <w:bCs/>
                <w:sz w:val="20"/>
                <w:szCs w:val="20"/>
              </w:rPr>
              <w:t>2027</w:t>
            </w:r>
          </w:p>
        </w:tc>
        <w:tc>
          <w:tcPr>
            <w:tcW w:w="1985" w:type="dxa"/>
          </w:tcPr>
          <w:p w:rsidRPr="005F798D" w:rsidR="00635B63" w:rsidP="00635B63" w:rsidRDefault="00B34D16" w14:paraId="4AEF2BA9" w14:textId="2F62373B">
            <w:pPr>
              <w:rPr>
                <w:sz w:val="20"/>
                <w:szCs w:val="20"/>
              </w:rPr>
            </w:pPr>
            <w:r>
              <w:rPr>
                <w:sz w:val="20"/>
                <w:szCs w:val="20"/>
              </w:rPr>
              <w:t>80-100%</w:t>
            </w:r>
          </w:p>
        </w:tc>
        <w:tc>
          <w:tcPr>
            <w:tcW w:w="2409" w:type="dxa"/>
          </w:tcPr>
          <w:p w:rsidRPr="005F798D" w:rsidR="00635B63" w:rsidP="00635B63" w:rsidRDefault="00B34D16" w14:paraId="546AC830" w14:textId="234323BE">
            <w:pPr>
              <w:rPr>
                <w:sz w:val="20"/>
                <w:szCs w:val="20"/>
              </w:rPr>
            </w:pPr>
            <w:r>
              <w:rPr>
                <w:sz w:val="20"/>
                <w:szCs w:val="20"/>
              </w:rPr>
              <w:t>0-20%</w:t>
            </w:r>
          </w:p>
        </w:tc>
        <w:tc>
          <w:tcPr>
            <w:tcW w:w="2268" w:type="dxa"/>
          </w:tcPr>
          <w:p w:rsidRPr="005F798D" w:rsidR="00635B63" w:rsidP="00635B63" w:rsidRDefault="00B34D16" w14:paraId="1F8EB274" w14:textId="67396AA8">
            <w:pPr>
              <w:rPr>
                <w:sz w:val="20"/>
                <w:szCs w:val="20"/>
              </w:rPr>
            </w:pPr>
            <w:r>
              <w:rPr>
                <w:sz w:val="20"/>
                <w:szCs w:val="20"/>
              </w:rPr>
              <w:t>0-10%</w:t>
            </w:r>
          </w:p>
        </w:tc>
      </w:tr>
      <w:tr w:rsidR="00DE13CA" w:rsidTr="006D54DF" w14:paraId="46D0050D" w14:textId="77777777">
        <w:tc>
          <w:tcPr>
            <w:tcW w:w="1276" w:type="dxa"/>
          </w:tcPr>
          <w:p w:rsidRPr="005F798D" w:rsidR="00635B63" w:rsidP="00635B63" w:rsidRDefault="00B34D16" w14:paraId="554E3E51" w14:textId="77777777">
            <w:pPr>
              <w:rPr>
                <w:b/>
                <w:bCs/>
                <w:sz w:val="20"/>
                <w:szCs w:val="20"/>
              </w:rPr>
            </w:pPr>
            <w:r>
              <w:rPr>
                <w:b/>
                <w:bCs/>
                <w:sz w:val="20"/>
                <w:szCs w:val="20"/>
              </w:rPr>
              <w:t>2028</w:t>
            </w:r>
          </w:p>
        </w:tc>
        <w:tc>
          <w:tcPr>
            <w:tcW w:w="1985" w:type="dxa"/>
          </w:tcPr>
          <w:p w:rsidRPr="005F798D" w:rsidR="00635B63" w:rsidP="00635B63" w:rsidRDefault="00B34D16" w14:paraId="35B986A3" w14:textId="633FE87A">
            <w:pPr>
              <w:rPr>
                <w:sz w:val="20"/>
                <w:szCs w:val="20"/>
              </w:rPr>
            </w:pPr>
            <w:r>
              <w:rPr>
                <w:sz w:val="20"/>
                <w:szCs w:val="20"/>
              </w:rPr>
              <w:t>70-90%</w:t>
            </w:r>
          </w:p>
        </w:tc>
        <w:tc>
          <w:tcPr>
            <w:tcW w:w="2409" w:type="dxa"/>
          </w:tcPr>
          <w:p w:rsidRPr="005F798D" w:rsidR="00635B63" w:rsidP="00635B63" w:rsidRDefault="00B34D16" w14:paraId="296EF38F" w14:textId="0763FCC4">
            <w:pPr>
              <w:rPr>
                <w:sz w:val="20"/>
                <w:szCs w:val="20"/>
              </w:rPr>
            </w:pPr>
            <w:r>
              <w:rPr>
                <w:sz w:val="20"/>
                <w:szCs w:val="20"/>
              </w:rPr>
              <w:t>5-25%</w:t>
            </w:r>
          </w:p>
        </w:tc>
        <w:tc>
          <w:tcPr>
            <w:tcW w:w="2268" w:type="dxa"/>
          </w:tcPr>
          <w:p w:rsidRPr="005F798D" w:rsidR="00635B63" w:rsidP="00635B63" w:rsidRDefault="00B34D16" w14:paraId="20826E59" w14:textId="684AD299">
            <w:pPr>
              <w:rPr>
                <w:sz w:val="20"/>
                <w:szCs w:val="20"/>
              </w:rPr>
            </w:pPr>
            <w:r>
              <w:rPr>
                <w:sz w:val="20"/>
                <w:szCs w:val="20"/>
              </w:rPr>
              <w:t>0-10%</w:t>
            </w:r>
          </w:p>
        </w:tc>
      </w:tr>
      <w:tr w:rsidR="00DE13CA" w:rsidTr="006D54DF" w14:paraId="65701717" w14:textId="77777777">
        <w:tc>
          <w:tcPr>
            <w:tcW w:w="1276" w:type="dxa"/>
          </w:tcPr>
          <w:p w:rsidRPr="005F798D" w:rsidR="00635B63" w:rsidP="00635B63" w:rsidRDefault="00B34D16" w14:paraId="355EB0D2" w14:textId="77777777">
            <w:pPr>
              <w:rPr>
                <w:b/>
                <w:bCs/>
                <w:sz w:val="20"/>
                <w:szCs w:val="20"/>
              </w:rPr>
            </w:pPr>
            <w:r>
              <w:rPr>
                <w:b/>
                <w:bCs/>
                <w:sz w:val="20"/>
                <w:szCs w:val="20"/>
              </w:rPr>
              <w:t>2029</w:t>
            </w:r>
          </w:p>
        </w:tc>
        <w:tc>
          <w:tcPr>
            <w:tcW w:w="1985" w:type="dxa"/>
          </w:tcPr>
          <w:p w:rsidRPr="005F798D" w:rsidR="00635B63" w:rsidP="00635B63" w:rsidRDefault="00B34D16" w14:paraId="0CB22DC0" w14:textId="44A9738D">
            <w:pPr>
              <w:rPr>
                <w:sz w:val="20"/>
                <w:szCs w:val="20"/>
              </w:rPr>
            </w:pPr>
            <w:r>
              <w:rPr>
                <w:sz w:val="20"/>
                <w:szCs w:val="20"/>
              </w:rPr>
              <w:t>65-85%</w:t>
            </w:r>
          </w:p>
        </w:tc>
        <w:tc>
          <w:tcPr>
            <w:tcW w:w="2409" w:type="dxa"/>
          </w:tcPr>
          <w:p w:rsidRPr="005F798D" w:rsidR="00635B63" w:rsidP="00635B63" w:rsidRDefault="00B34D16" w14:paraId="2A91E0D7" w14:textId="62CD8917">
            <w:pPr>
              <w:rPr>
                <w:sz w:val="20"/>
                <w:szCs w:val="20"/>
              </w:rPr>
            </w:pPr>
            <w:r>
              <w:rPr>
                <w:sz w:val="20"/>
                <w:szCs w:val="20"/>
              </w:rPr>
              <w:t>10-30%</w:t>
            </w:r>
          </w:p>
        </w:tc>
        <w:tc>
          <w:tcPr>
            <w:tcW w:w="2268" w:type="dxa"/>
          </w:tcPr>
          <w:p w:rsidRPr="005F798D" w:rsidR="00635B63" w:rsidP="00635B63" w:rsidRDefault="00B34D16" w14:paraId="396B5386" w14:textId="47E8593F">
            <w:pPr>
              <w:rPr>
                <w:sz w:val="20"/>
                <w:szCs w:val="20"/>
              </w:rPr>
            </w:pPr>
            <w:r>
              <w:rPr>
                <w:sz w:val="20"/>
                <w:szCs w:val="20"/>
              </w:rPr>
              <w:t>0-10%</w:t>
            </w:r>
          </w:p>
        </w:tc>
      </w:tr>
      <w:tr w:rsidR="00DE13CA" w:rsidTr="006D54DF" w14:paraId="6BB9EA0A" w14:textId="77777777">
        <w:tc>
          <w:tcPr>
            <w:tcW w:w="1276" w:type="dxa"/>
          </w:tcPr>
          <w:p w:rsidRPr="005F798D" w:rsidR="00635B63" w:rsidP="00635B63" w:rsidRDefault="00B34D16" w14:paraId="1832BE46" w14:textId="77777777">
            <w:pPr>
              <w:rPr>
                <w:b/>
                <w:bCs/>
                <w:sz w:val="20"/>
                <w:szCs w:val="20"/>
              </w:rPr>
            </w:pPr>
            <w:r>
              <w:rPr>
                <w:b/>
                <w:bCs/>
                <w:sz w:val="20"/>
                <w:szCs w:val="20"/>
              </w:rPr>
              <w:t>2030</w:t>
            </w:r>
          </w:p>
        </w:tc>
        <w:tc>
          <w:tcPr>
            <w:tcW w:w="1985" w:type="dxa"/>
          </w:tcPr>
          <w:p w:rsidRPr="005F798D" w:rsidR="00635B63" w:rsidP="00635B63" w:rsidRDefault="00B34D16" w14:paraId="6DBA5300" w14:textId="56DA6B7F">
            <w:pPr>
              <w:rPr>
                <w:sz w:val="20"/>
                <w:szCs w:val="20"/>
              </w:rPr>
            </w:pPr>
            <w:r>
              <w:rPr>
                <w:sz w:val="20"/>
                <w:szCs w:val="20"/>
              </w:rPr>
              <w:t>50-70%</w:t>
            </w:r>
          </w:p>
        </w:tc>
        <w:tc>
          <w:tcPr>
            <w:tcW w:w="2409" w:type="dxa"/>
          </w:tcPr>
          <w:p w:rsidRPr="005F798D" w:rsidR="00635B63" w:rsidP="00635B63" w:rsidRDefault="00B34D16" w14:paraId="200F2375" w14:textId="0EADAA7B">
            <w:pPr>
              <w:rPr>
                <w:sz w:val="20"/>
                <w:szCs w:val="20"/>
              </w:rPr>
            </w:pPr>
            <w:r>
              <w:rPr>
                <w:sz w:val="20"/>
                <w:szCs w:val="20"/>
              </w:rPr>
              <w:t>15-50%</w:t>
            </w:r>
          </w:p>
        </w:tc>
        <w:tc>
          <w:tcPr>
            <w:tcW w:w="2268" w:type="dxa"/>
          </w:tcPr>
          <w:p w:rsidRPr="005F798D" w:rsidR="00635B63" w:rsidP="00635B63" w:rsidRDefault="00B34D16" w14:paraId="7FD00E1A" w14:textId="16E7E7D4">
            <w:pPr>
              <w:rPr>
                <w:sz w:val="20"/>
                <w:szCs w:val="20"/>
              </w:rPr>
            </w:pPr>
            <w:r>
              <w:rPr>
                <w:sz w:val="20"/>
                <w:szCs w:val="20"/>
              </w:rPr>
              <w:t>0-10%</w:t>
            </w:r>
          </w:p>
        </w:tc>
      </w:tr>
      <w:tr w:rsidR="00DE13CA" w:rsidTr="006D54DF" w14:paraId="6B9E7A9D" w14:textId="77777777">
        <w:tc>
          <w:tcPr>
            <w:tcW w:w="1276" w:type="dxa"/>
          </w:tcPr>
          <w:p w:rsidRPr="005F798D" w:rsidR="00635B63" w:rsidP="00635B63" w:rsidRDefault="00B34D16" w14:paraId="56545F5E" w14:textId="77777777">
            <w:pPr>
              <w:rPr>
                <w:b/>
                <w:bCs/>
                <w:sz w:val="20"/>
                <w:szCs w:val="20"/>
              </w:rPr>
            </w:pPr>
            <w:r>
              <w:rPr>
                <w:b/>
                <w:bCs/>
                <w:sz w:val="20"/>
                <w:szCs w:val="20"/>
              </w:rPr>
              <w:t>2031</w:t>
            </w:r>
          </w:p>
        </w:tc>
        <w:tc>
          <w:tcPr>
            <w:tcW w:w="1985" w:type="dxa"/>
          </w:tcPr>
          <w:p w:rsidRPr="005F798D" w:rsidR="00635B63" w:rsidP="00635B63" w:rsidRDefault="00B34D16" w14:paraId="7DDB7BFA" w14:textId="1AD1A31C">
            <w:pPr>
              <w:rPr>
                <w:sz w:val="20"/>
                <w:szCs w:val="20"/>
              </w:rPr>
            </w:pPr>
            <w:r>
              <w:rPr>
                <w:sz w:val="20"/>
                <w:szCs w:val="20"/>
              </w:rPr>
              <w:t>30-60%</w:t>
            </w:r>
          </w:p>
        </w:tc>
        <w:tc>
          <w:tcPr>
            <w:tcW w:w="2409" w:type="dxa"/>
          </w:tcPr>
          <w:p w:rsidRPr="005F798D" w:rsidR="00635B63" w:rsidP="00635B63" w:rsidRDefault="00B34D16" w14:paraId="68301610" w14:textId="2B4CED11">
            <w:pPr>
              <w:rPr>
                <w:sz w:val="20"/>
                <w:szCs w:val="20"/>
              </w:rPr>
            </w:pPr>
            <w:r>
              <w:rPr>
                <w:sz w:val="20"/>
                <w:szCs w:val="20"/>
              </w:rPr>
              <w:t>35-70%</w:t>
            </w:r>
          </w:p>
        </w:tc>
        <w:tc>
          <w:tcPr>
            <w:tcW w:w="2268" w:type="dxa"/>
          </w:tcPr>
          <w:p w:rsidRPr="005F798D" w:rsidR="00635B63" w:rsidP="00635B63" w:rsidRDefault="00B34D16" w14:paraId="17CB418D" w14:textId="1E43AF9F">
            <w:pPr>
              <w:rPr>
                <w:sz w:val="20"/>
                <w:szCs w:val="20"/>
              </w:rPr>
            </w:pPr>
            <w:r>
              <w:rPr>
                <w:sz w:val="20"/>
                <w:szCs w:val="20"/>
              </w:rPr>
              <w:t>0-10%</w:t>
            </w:r>
          </w:p>
        </w:tc>
      </w:tr>
      <w:tr w:rsidR="00DE13CA" w:rsidTr="006D54DF" w14:paraId="400A15CA" w14:textId="77777777">
        <w:tc>
          <w:tcPr>
            <w:tcW w:w="1276" w:type="dxa"/>
          </w:tcPr>
          <w:p w:rsidRPr="005F798D" w:rsidR="00635B63" w:rsidP="00635B63" w:rsidRDefault="00B34D16" w14:paraId="39D2C24F" w14:textId="77777777">
            <w:pPr>
              <w:rPr>
                <w:b/>
                <w:bCs/>
                <w:sz w:val="20"/>
                <w:szCs w:val="20"/>
              </w:rPr>
            </w:pPr>
            <w:r>
              <w:rPr>
                <w:b/>
                <w:bCs/>
                <w:sz w:val="20"/>
                <w:szCs w:val="20"/>
              </w:rPr>
              <w:t>2032</w:t>
            </w:r>
          </w:p>
        </w:tc>
        <w:tc>
          <w:tcPr>
            <w:tcW w:w="1985" w:type="dxa"/>
          </w:tcPr>
          <w:p w:rsidRPr="005F798D" w:rsidR="00635B63" w:rsidP="00635B63" w:rsidRDefault="00B34D16" w14:paraId="6575327B" w14:textId="02360454">
            <w:pPr>
              <w:rPr>
                <w:sz w:val="20"/>
                <w:szCs w:val="20"/>
              </w:rPr>
            </w:pPr>
            <w:r>
              <w:rPr>
                <w:sz w:val="20"/>
                <w:szCs w:val="20"/>
              </w:rPr>
              <w:t>20-40%</w:t>
            </w:r>
          </w:p>
        </w:tc>
        <w:tc>
          <w:tcPr>
            <w:tcW w:w="2409" w:type="dxa"/>
          </w:tcPr>
          <w:p w:rsidRPr="005F798D" w:rsidR="00635B63" w:rsidP="00635B63" w:rsidRDefault="00B34D16" w14:paraId="5C1E7418" w14:textId="6F9914FF">
            <w:pPr>
              <w:rPr>
                <w:sz w:val="20"/>
                <w:szCs w:val="20"/>
              </w:rPr>
            </w:pPr>
            <w:r>
              <w:rPr>
                <w:sz w:val="20"/>
                <w:szCs w:val="20"/>
              </w:rPr>
              <w:t>50-80%</w:t>
            </w:r>
          </w:p>
        </w:tc>
        <w:tc>
          <w:tcPr>
            <w:tcW w:w="2268" w:type="dxa"/>
          </w:tcPr>
          <w:p w:rsidRPr="005F798D" w:rsidR="00635B63" w:rsidP="00635B63" w:rsidRDefault="00B34D16" w14:paraId="1758ADA3" w14:textId="4E1093CE">
            <w:pPr>
              <w:rPr>
                <w:sz w:val="20"/>
                <w:szCs w:val="20"/>
              </w:rPr>
            </w:pPr>
            <w:r>
              <w:rPr>
                <w:sz w:val="20"/>
                <w:szCs w:val="20"/>
              </w:rPr>
              <w:t>0-5%</w:t>
            </w:r>
          </w:p>
        </w:tc>
      </w:tr>
      <w:tr w:rsidR="00DE13CA" w:rsidTr="006D54DF" w14:paraId="2F101BC9" w14:textId="77777777">
        <w:tc>
          <w:tcPr>
            <w:tcW w:w="1276" w:type="dxa"/>
          </w:tcPr>
          <w:p w:rsidRPr="005F798D" w:rsidR="00635B63" w:rsidP="00635B63" w:rsidRDefault="00B34D16" w14:paraId="5DF2BC79" w14:textId="77777777">
            <w:pPr>
              <w:rPr>
                <w:b/>
                <w:bCs/>
                <w:sz w:val="20"/>
                <w:szCs w:val="20"/>
              </w:rPr>
            </w:pPr>
            <w:r>
              <w:rPr>
                <w:b/>
                <w:bCs/>
                <w:sz w:val="20"/>
                <w:szCs w:val="20"/>
              </w:rPr>
              <w:t>2033</w:t>
            </w:r>
          </w:p>
        </w:tc>
        <w:tc>
          <w:tcPr>
            <w:tcW w:w="1985" w:type="dxa"/>
          </w:tcPr>
          <w:p w:rsidRPr="005F798D" w:rsidR="00635B63" w:rsidP="00635B63" w:rsidRDefault="00B34D16" w14:paraId="443562D8" w14:textId="65D08503">
            <w:pPr>
              <w:rPr>
                <w:sz w:val="20"/>
                <w:szCs w:val="20"/>
              </w:rPr>
            </w:pPr>
            <w:r>
              <w:rPr>
                <w:sz w:val="20"/>
                <w:szCs w:val="20"/>
              </w:rPr>
              <w:t>10-20%</w:t>
            </w:r>
          </w:p>
        </w:tc>
        <w:tc>
          <w:tcPr>
            <w:tcW w:w="2409" w:type="dxa"/>
          </w:tcPr>
          <w:p w:rsidRPr="005F798D" w:rsidR="00635B63" w:rsidP="00635B63" w:rsidRDefault="00B34D16" w14:paraId="4F1DE018" w14:textId="5A29B9E1">
            <w:pPr>
              <w:rPr>
                <w:sz w:val="20"/>
                <w:szCs w:val="20"/>
              </w:rPr>
            </w:pPr>
            <w:r>
              <w:rPr>
                <w:sz w:val="20"/>
                <w:szCs w:val="20"/>
              </w:rPr>
              <w:t>70-90%</w:t>
            </w:r>
          </w:p>
        </w:tc>
        <w:tc>
          <w:tcPr>
            <w:tcW w:w="2268" w:type="dxa"/>
          </w:tcPr>
          <w:p w:rsidRPr="005F798D" w:rsidR="00635B63" w:rsidP="00635B63" w:rsidRDefault="00B34D16" w14:paraId="482ADA93" w14:textId="621233E4">
            <w:pPr>
              <w:rPr>
                <w:sz w:val="20"/>
                <w:szCs w:val="20"/>
              </w:rPr>
            </w:pPr>
            <w:r>
              <w:rPr>
                <w:sz w:val="20"/>
                <w:szCs w:val="20"/>
              </w:rPr>
              <w:t>0-5%</w:t>
            </w:r>
          </w:p>
        </w:tc>
      </w:tr>
      <w:tr w:rsidR="00DE13CA" w:rsidTr="006D54DF" w14:paraId="4D0D18BD" w14:textId="77777777">
        <w:tc>
          <w:tcPr>
            <w:tcW w:w="1276" w:type="dxa"/>
          </w:tcPr>
          <w:p w:rsidRPr="005F798D" w:rsidR="00635B63" w:rsidP="00635B63" w:rsidRDefault="00B34D16" w14:paraId="1806B474" w14:textId="77777777">
            <w:pPr>
              <w:rPr>
                <w:b/>
                <w:bCs/>
                <w:sz w:val="20"/>
                <w:szCs w:val="20"/>
              </w:rPr>
            </w:pPr>
            <w:r>
              <w:rPr>
                <w:b/>
                <w:bCs/>
                <w:sz w:val="20"/>
                <w:szCs w:val="20"/>
              </w:rPr>
              <w:t>2034</w:t>
            </w:r>
          </w:p>
        </w:tc>
        <w:tc>
          <w:tcPr>
            <w:tcW w:w="1985" w:type="dxa"/>
          </w:tcPr>
          <w:p w:rsidRPr="005F798D" w:rsidR="00635B63" w:rsidP="00635B63" w:rsidRDefault="00B34D16" w14:paraId="54459617" w14:textId="4CA865C4">
            <w:pPr>
              <w:rPr>
                <w:sz w:val="20"/>
                <w:szCs w:val="20"/>
              </w:rPr>
            </w:pPr>
            <w:r>
              <w:rPr>
                <w:sz w:val="20"/>
                <w:szCs w:val="20"/>
              </w:rPr>
              <w:t>0-10%</w:t>
            </w:r>
          </w:p>
        </w:tc>
        <w:tc>
          <w:tcPr>
            <w:tcW w:w="2409" w:type="dxa"/>
          </w:tcPr>
          <w:p w:rsidRPr="005F798D" w:rsidR="00635B63" w:rsidP="00635B63" w:rsidRDefault="00B34D16" w14:paraId="0C9BC2EE" w14:textId="269F9144">
            <w:pPr>
              <w:rPr>
                <w:sz w:val="20"/>
                <w:szCs w:val="20"/>
              </w:rPr>
            </w:pPr>
            <w:r>
              <w:rPr>
                <w:sz w:val="20"/>
                <w:szCs w:val="20"/>
              </w:rPr>
              <w:t>90-100%</w:t>
            </w:r>
          </w:p>
        </w:tc>
        <w:tc>
          <w:tcPr>
            <w:tcW w:w="2268" w:type="dxa"/>
          </w:tcPr>
          <w:p w:rsidRPr="005F798D" w:rsidR="00635B63" w:rsidP="00635B63" w:rsidRDefault="00B34D16" w14:paraId="4E91DE61" w14:textId="77777777">
            <w:pPr>
              <w:rPr>
                <w:sz w:val="20"/>
                <w:szCs w:val="20"/>
              </w:rPr>
            </w:pPr>
            <w:r>
              <w:rPr>
                <w:sz w:val="20"/>
                <w:szCs w:val="20"/>
              </w:rPr>
              <w:t>0%</w:t>
            </w:r>
          </w:p>
        </w:tc>
      </w:tr>
    </w:tbl>
    <w:p w:rsidR="007078EE" w:rsidP="00C12352" w:rsidRDefault="007078EE" w14:paraId="09006E9A" w14:textId="77777777">
      <w:pPr>
        <w:pStyle w:val="BodyText"/>
        <w:ind w:right="523"/>
        <w:jc w:val="both"/>
        <w:rPr>
          <w:sz w:val="20"/>
          <w:szCs w:val="20"/>
        </w:rPr>
      </w:pPr>
    </w:p>
    <w:p w:rsidRPr="00C12352" w:rsidR="007078EE" w:rsidP="0032107B" w:rsidRDefault="00B34D16" w14:paraId="42DBF394" w14:textId="7BC8FB2C">
      <w:pPr>
        <w:pStyle w:val="BodyText"/>
        <w:ind w:left="567" w:right="523"/>
        <w:jc w:val="both"/>
        <w:rPr>
          <w:sz w:val="20"/>
          <w:szCs w:val="20"/>
        </w:rPr>
      </w:pPr>
      <w:r>
        <w:rPr>
          <w:sz w:val="20"/>
          <w:szCs w:val="20"/>
        </w:rPr>
        <w:t>The Investment Manager may periodically adjust the proportion of Equity Funds</w:t>
      </w:r>
      <w:r w:rsidR="006D54DF">
        <w:rPr>
          <w:sz w:val="20"/>
          <w:szCs w:val="20"/>
        </w:rPr>
        <w:t xml:space="preserve">, </w:t>
      </w:r>
      <w:r>
        <w:rPr>
          <w:sz w:val="20"/>
          <w:szCs w:val="20"/>
        </w:rPr>
        <w:t xml:space="preserve">Fixed Income Funds </w:t>
      </w:r>
      <w:r w:rsidR="006D54DF">
        <w:rPr>
          <w:sz w:val="20"/>
          <w:szCs w:val="20"/>
        </w:rPr>
        <w:t xml:space="preserve">and UCITS eligible ETCs </w:t>
      </w:r>
      <w:r>
        <w:rPr>
          <w:sz w:val="20"/>
          <w:szCs w:val="20"/>
        </w:rPr>
        <w:t>in which the Fund invests, based on an assessment of the current market conditions, the potential contribution of each Underlying Fund</w:t>
      </w:r>
      <w:r w:rsidR="006D54DF">
        <w:rPr>
          <w:sz w:val="20"/>
          <w:szCs w:val="20"/>
        </w:rPr>
        <w:t xml:space="preserve"> and/or UCITS eligible ETC</w:t>
      </w:r>
      <w:r>
        <w:rPr>
          <w:sz w:val="20"/>
          <w:szCs w:val="20"/>
        </w:rPr>
        <w:t xml:space="preserve"> to the expected risk and return characteristics of the Fund, reallocations of the Fund’s composition to reflect intra-year movement between Equity Funds</w:t>
      </w:r>
      <w:r w:rsidR="006D54DF">
        <w:rPr>
          <w:sz w:val="20"/>
          <w:szCs w:val="20"/>
        </w:rPr>
        <w:t xml:space="preserve">, </w:t>
      </w:r>
      <w:r>
        <w:rPr>
          <w:sz w:val="20"/>
          <w:szCs w:val="20"/>
        </w:rPr>
        <w:t xml:space="preserve">Fixed Income Funds </w:t>
      </w:r>
      <w:r w:rsidR="006D54DF">
        <w:rPr>
          <w:sz w:val="20"/>
          <w:szCs w:val="20"/>
        </w:rPr>
        <w:t xml:space="preserve">and UCITS eligible ETCs </w:t>
      </w:r>
      <w:r>
        <w:rPr>
          <w:sz w:val="20"/>
          <w:szCs w:val="20"/>
        </w:rPr>
        <w:t xml:space="preserve">and other market factors which the Investment Manager determines may impact the best interests of the Fund, such as valuation movements or shifts in investor </w:t>
      </w:r>
      <w:r w:rsidR="0032107B">
        <w:rPr>
          <w:sz w:val="20"/>
          <w:szCs w:val="20"/>
        </w:rPr>
        <w:t>senti</w:t>
      </w:r>
      <w:r>
        <w:rPr>
          <w:sz w:val="20"/>
          <w:szCs w:val="20"/>
        </w:rPr>
        <w:t>ment in respect of the underlying securities of the Underlying Funds</w:t>
      </w:r>
      <w:r w:rsidR="006D54DF">
        <w:rPr>
          <w:sz w:val="20"/>
          <w:szCs w:val="20"/>
        </w:rPr>
        <w:t xml:space="preserve"> and/or UCITS eligible ETCs</w:t>
      </w:r>
      <w:r>
        <w:rPr>
          <w:sz w:val="20"/>
          <w:szCs w:val="20"/>
        </w:rPr>
        <w:t>. In general, such adjustments will be limited, however, the Investment Manager may determine that a greater degree of variation is warranted to protect the Fund or for the Fund to achieve its investment objective.</w:t>
      </w:r>
      <w:r w:rsidR="006D54DF">
        <w:rPr>
          <w:sz w:val="20"/>
          <w:szCs w:val="20"/>
        </w:rPr>
        <w:t xml:space="preserve"> Notwithstanding any such adjustment, the Fund will not invest more than 15% of its Net Asset Value in UCITS eligible ETCs at any time. </w:t>
      </w:r>
    </w:p>
    <w:p w:rsidRPr="007078EE" w:rsidR="007078EE" w:rsidP="00BB0FBA" w:rsidRDefault="007078EE" w14:paraId="3CF5F59A" w14:textId="77777777">
      <w:pPr>
        <w:pStyle w:val="BodyText"/>
        <w:ind w:left="567" w:right="523"/>
        <w:jc w:val="both"/>
        <w:rPr>
          <w:sz w:val="20"/>
          <w:szCs w:val="20"/>
          <w:lang w:val="en-IE"/>
        </w:rPr>
      </w:pPr>
    </w:p>
    <w:p w:rsidR="00BB0FBA" w:rsidP="00BB0FBA" w:rsidRDefault="00B34D16" w14:paraId="66AD6E64" w14:textId="7CFE63C8">
      <w:pPr>
        <w:pStyle w:val="BodyText"/>
        <w:ind w:left="567" w:right="523"/>
        <w:jc w:val="both"/>
        <w:rPr>
          <w:sz w:val="20"/>
          <w:szCs w:val="20"/>
        </w:rPr>
      </w:pPr>
      <w:r>
        <w:rPr>
          <w:sz w:val="20"/>
          <w:szCs w:val="20"/>
        </w:rPr>
        <w:t xml:space="preserve">The Fund’s portfolio holdings will be published on the Website </w:t>
      </w:r>
      <w:proofErr w:type="gramStart"/>
      <w:r>
        <w:rPr>
          <w:sz w:val="20"/>
          <w:szCs w:val="20"/>
        </w:rPr>
        <w:t>on a daily basis</w:t>
      </w:r>
      <w:proofErr w:type="gramEnd"/>
      <w:r>
        <w:rPr>
          <w:sz w:val="20"/>
          <w:szCs w:val="20"/>
        </w:rPr>
        <w:t xml:space="preserve">.  </w:t>
      </w:r>
    </w:p>
    <w:p w:rsidR="00BB0FBA" w:rsidP="00BB0FBA" w:rsidRDefault="00BB0FBA" w14:paraId="2670D7B5" w14:textId="77777777">
      <w:pPr>
        <w:pStyle w:val="BodyText"/>
        <w:ind w:right="523"/>
        <w:jc w:val="both"/>
        <w:rPr>
          <w:sz w:val="20"/>
          <w:szCs w:val="20"/>
        </w:rPr>
      </w:pPr>
    </w:p>
    <w:p w:rsidR="00DB7EA5" w:rsidP="00BB0FBA" w:rsidRDefault="00B34D16" w14:paraId="577F8E44" w14:textId="7C64E298">
      <w:pPr>
        <w:pStyle w:val="BodyText"/>
        <w:ind w:left="567" w:right="523"/>
        <w:jc w:val="both"/>
        <w:rPr>
          <w:b/>
          <w:bCs/>
          <w:i/>
          <w:iCs/>
          <w:sz w:val="20"/>
          <w:szCs w:val="20"/>
        </w:rPr>
      </w:pPr>
      <w:r>
        <w:rPr>
          <w:b/>
          <w:bCs/>
          <w:i/>
          <w:iCs/>
          <w:sz w:val="20"/>
          <w:szCs w:val="20"/>
        </w:rPr>
        <w:t xml:space="preserve">Investment Strategy </w:t>
      </w:r>
    </w:p>
    <w:p w:rsidR="00FF13B4" w:rsidP="00FF13B4" w:rsidRDefault="00FF13B4" w14:paraId="5DFF56F6" w14:textId="77777777">
      <w:pPr>
        <w:pStyle w:val="BodyText"/>
        <w:ind w:right="523"/>
        <w:jc w:val="both"/>
        <w:rPr>
          <w:b/>
          <w:bCs/>
          <w:i/>
          <w:iCs/>
          <w:sz w:val="20"/>
          <w:szCs w:val="20"/>
        </w:rPr>
      </w:pPr>
    </w:p>
    <w:p w:rsidR="00B80460" w:rsidP="00B97D15" w:rsidRDefault="00B34D16" w14:paraId="1235EA33" w14:textId="6DC324EC">
      <w:pPr>
        <w:pStyle w:val="BodyText"/>
        <w:ind w:left="567" w:right="523"/>
        <w:jc w:val="both"/>
        <w:rPr>
          <w:sz w:val="20"/>
          <w:szCs w:val="20"/>
        </w:rPr>
      </w:pPr>
      <w:r>
        <w:rPr>
          <w:sz w:val="20"/>
          <w:szCs w:val="20"/>
        </w:rPr>
        <w:t xml:space="preserve">The Investment Manager’s second step in the structuring of the Fund is the selection of the Underlying Funds and </w:t>
      </w:r>
      <w:r w:rsidR="006D54DF">
        <w:rPr>
          <w:sz w:val="20"/>
          <w:szCs w:val="20"/>
        </w:rPr>
        <w:t xml:space="preserve">UCITS eligible </w:t>
      </w:r>
      <w:r>
        <w:rPr>
          <w:sz w:val="20"/>
          <w:szCs w:val="20"/>
        </w:rPr>
        <w:t xml:space="preserve">ETCs, which are selected by the Investment Manager based on the following four criteria: </w:t>
      </w:r>
    </w:p>
    <w:p w:rsidR="00B80460" w:rsidP="00B80460" w:rsidRDefault="00B80460" w14:paraId="39666B03" w14:textId="77777777">
      <w:pPr>
        <w:pStyle w:val="BodyText"/>
        <w:ind w:left="567" w:right="523"/>
        <w:jc w:val="both"/>
        <w:rPr>
          <w:sz w:val="20"/>
          <w:szCs w:val="20"/>
        </w:rPr>
      </w:pPr>
    </w:p>
    <w:p w:rsidRPr="0067287C" w:rsidR="0067287C" w:rsidP="0067287C" w:rsidRDefault="00B34D16" w14:paraId="75ECD0B4" w14:textId="6E296CA8">
      <w:pPr>
        <w:pStyle w:val="BodyText"/>
        <w:numPr>
          <w:ilvl w:val="0"/>
          <w:numId w:val="28"/>
        </w:numPr>
        <w:ind w:right="523"/>
        <w:jc w:val="both"/>
        <w:rPr>
          <w:sz w:val="20"/>
          <w:szCs w:val="20"/>
        </w:rPr>
      </w:pPr>
      <w:r>
        <w:rPr>
          <w:sz w:val="20"/>
          <w:szCs w:val="20"/>
        </w:rPr>
        <w:t xml:space="preserve">consistency between </w:t>
      </w:r>
      <w:r w:rsidR="0067287C">
        <w:rPr>
          <w:sz w:val="20"/>
          <w:szCs w:val="20"/>
        </w:rPr>
        <w:t xml:space="preserve">(i) </w:t>
      </w:r>
      <w:r>
        <w:rPr>
          <w:sz w:val="20"/>
          <w:szCs w:val="20"/>
        </w:rPr>
        <w:t xml:space="preserve">the </w:t>
      </w:r>
      <w:r w:rsidR="0067287C">
        <w:rPr>
          <w:sz w:val="20"/>
          <w:szCs w:val="20"/>
        </w:rPr>
        <w:t xml:space="preserve">risk profile of the Underlying Fund or </w:t>
      </w:r>
      <w:r w:rsidR="006D54DF">
        <w:rPr>
          <w:sz w:val="20"/>
          <w:szCs w:val="20"/>
        </w:rPr>
        <w:t xml:space="preserve">UCITS eligible </w:t>
      </w:r>
      <w:r w:rsidR="0067287C">
        <w:rPr>
          <w:sz w:val="20"/>
          <w:szCs w:val="20"/>
        </w:rPr>
        <w:t xml:space="preserve">ETC with the Fund’s risk profile; and (ii) the return profile of the Underlying Fund or </w:t>
      </w:r>
      <w:r w:rsidR="006D54DF">
        <w:rPr>
          <w:sz w:val="20"/>
          <w:szCs w:val="20"/>
        </w:rPr>
        <w:t xml:space="preserve">UCITS eligible </w:t>
      </w:r>
      <w:r w:rsidR="0067287C">
        <w:rPr>
          <w:sz w:val="20"/>
          <w:szCs w:val="20"/>
        </w:rPr>
        <w:t>ETC with the Fund’s investment objective to provide investors with a total return through the Target Period;</w:t>
      </w:r>
    </w:p>
    <w:p w:rsidRPr="00B97D15" w:rsidR="00B80460" w:rsidP="00B42322" w:rsidRDefault="00B34D16" w14:paraId="6BD2D9D6" w14:textId="08A325C6">
      <w:pPr>
        <w:pStyle w:val="BodyText"/>
        <w:numPr>
          <w:ilvl w:val="0"/>
          <w:numId w:val="28"/>
        </w:numPr>
        <w:ind w:right="523"/>
        <w:jc w:val="both"/>
        <w:rPr>
          <w:sz w:val="20"/>
          <w:szCs w:val="20"/>
        </w:rPr>
      </w:pPr>
      <w:r>
        <w:rPr>
          <w:sz w:val="20"/>
          <w:szCs w:val="20"/>
        </w:rPr>
        <w:t>proximity to the Maturity Date;</w:t>
      </w:r>
    </w:p>
    <w:p w:rsidRPr="00196C70" w:rsidR="00B80460" w:rsidP="00B42322" w:rsidRDefault="00B34D16" w14:paraId="12FBE3A7" w14:textId="004BA738">
      <w:pPr>
        <w:pStyle w:val="ListParagraph"/>
        <w:numPr>
          <w:ilvl w:val="0"/>
          <w:numId w:val="28"/>
        </w:numPr>
        <w:rPr>
          <w:rFonts w:ascii="Arial" w:hAnsi="Arial" w:eastAsia="Arial" w:cs="Arial"/>
          <w:sz w:val="20"/>
          <w:szCs w:val="20"/>
        </w:rPr>
      </w:pPr>
      <w:r>
        <w:rPr>
          <w:rFonts w:ascii="Arial" w:hAnsi="Arial" w:eastAsia="Arial" w:cs="Arial"/>
          <w:sz w:val="20"/>
          <w:szCs w:val="20"/>
        </w:rPr>
        <w:t>the Investment Manager’s discretionary outlook on market conditions</w:t>
      </w:r>
      <w:r>
        <w:rPr>
          <w:rFonts w:ascii="Arial" w:hAnsi="Arial" w:cs="Arial"/>
          <w:sz w:val="20"/>
          <w:szCs w:val="20"/>
        </w:rPr>
        <w:t>; and</w:t>
      </w:r>
      <w:r>
        <w:rPr>
          <w:sz w:val="20"/>
          <w:szCs w:val="20"/>
        </w:rPr>
        <w:t xml:space="preserve"> </w:t>
      </w:r>
    </w:p>
    <w:p w:rsidRPr="00196C70" w:rsidR="00B80460" w:rsidP="00B42322" w:rsidRDefault="00B34D16" w14:paraId="64592959" w14:textId="6A74E711">
      <w:pPr>
        <w:pStyle w:val="BodyText"/>
        <w:numPr>
          <w:ilvl w:val="0"/>
          <w:numId w:val="28"/>
        </w:numPr>
        <w:ind w:right="523"/>
        <w:jc w:val="both"/>
        <w:rPr>
          <w:sz w:val="20"/>
          <w:szCs w:val="20"/>
        </w:rPr>
      </w:pPr>
      <w:r>
        <w:rPr>
          <w:sz w:val="20"/>
          <w:szCs w:val="20"/>
        </w:rPr>
        <w:t>attractiveness of a</w:t>
      </w:r>
      <w:r w:rsidR="006D54DF">
        <w:rPr>
          <w:sz w:val="20"/>
          <w:szCs w:val="20"/>
        </w:rPr>
        <w:t xml:space="preserve"> UCITS eligible</w:t>
      </w:r>
      <w:r>
        <w:rPr>
          <w:sz w:val="20"/>
          <w:szCs w:val="20"/>
        </w:rPr>
        <w:t xml:space="preserve"> ETC</w:t>
      </w:r>
      <w:r w:rsidR="00F1304C">
        <w:rPr>
          <w:sz w:val="20"/>
          <w:szCs w:val="20"/>
        </w:rPr>
        <w:t xml:space="preserve"> or Underlying Fund</w:t>
      </w:r>
      <w:r>
        <w:rPr>
          <w:sz w:val="20"/>
          <w:szCs w:val="20"/>
        </w:rPr>
        <w:t xml:space="preserve"> as against other </w:t>
      </w:r>
      <w:r w:rsidR="006D54DF">
        <w:rPr>
          <w:sz w:val="20"/>
          <w:szCs w:val="20"/>
        </w:rPr>
        <w:t xml:space="preserve">UCITS eligible </w:t>
      </w:r>
      <w:r>
        <w:rPr>
          <w:sz w:val="20"/>
          <w:szCs w:val="20"/>
        </w:rPr>
        <w:t>ETCs</w:t>
      </w:r>
      <w:r w:rsidR="00F1304C">
        <w:rPr>
          <w:sz w:val="20"/>
          <w:szCs w:val="20"/>
        </w:rPr>
        <w:t xml:space="preserve"> or Underlying Funds, respectively,</w:t>
      </w:r>
      <w:r>
        <w:rPr>
          <w:sz w:val="20"/>
          <w:szCs w:val="20"/>
        </w:rPr>
        <w:t xml:space="preserve"> that offer similar exposure, as determined in accordance with the Investment Manager’s selection</w:t>
      </w:r>
      <w:r w:rsidR="0067287C">
        <w:rPr>
          <w:sz w:val="20"/>
          <w:szCs w:val="20"/>
        </w:rPr>
        <w:t xml:space="preserve"> process set out below</w:t>
      </w:r>
      <w:r>
        <w:rPr>
          <w:sz w:val="20"/>
          <w:szCs w:val="20"/>
        </w:rPr>
        <w:t xml:space="preserve">.  </w:t>
      </w:r>
    </w:p>
    <w:p w:rsidR="009176E4" w:rsidP="000F7D5B" w:rsidRDefault="009176E4" w14:paraId="7F3DE8A9" w14:textId="77777777">
      <w:pPr>
        <w:pStyle w:val="BodyText"/>
        <w:ind w:right="523"/>
        <w:jc w:val="both"/>
        <w:rPr>
          <w:sz w:val="20"/>
          <w:szCs w:val="20"/>
        </w:rPr>
      </w:pPr>
    </w:p>
    <w:p w:rsidR="008B2A57" w:rsidP="008F41D7" w:rsidRDefault="000F7D5B" w14:paraId="6FF71F94" w14:textId="77777777">
      <w:pPr>
        <w:pStyle w:val="BodyText"/>
        <w:ind w:left="567" w:right="523"/>
        <w:jc w:val="both"/>
        <w:rPr>
          <w:sz w:val="20"/>
          <w:szCs w:val="20"/>
        </w:rPr>
      </w:pPr>
      <w:r>
        <w:rPr>
          <w:sz w:val="20"/>
          <w:szCs w:val="20"/>
        </w:rPr>
        <w:t xml:space="preserve">The specific Underlying Funds selected for the Fund are determined at Investment Manager’s discretion and may change as deemed appropriate to allow the Fund to meet its investment objective. </w:t>
      </w:r>
    </w:p>
    <w:p w:rsidR="008B2A57" w:rsidP="008F41D7" w:rsidRDefault="008B2A57" w14:paraId="28D44B66" w14:textId="77777777">
      <w:pPr>
        <w:pStyle w:val="BodyText"/>
        <w:ind w:left="567" w:right="523"/>
        <w:jc w:val="both"/>
        <w:rPr>
          <w:sz w:val="20"/>
          <w:szCs w:val="20"/>
        </w:rPr>
      </w:pPr>
    </w:p>
    <w:p w:rsidR="00616C03" w:rsidP="00616C03" w:rsidRDefault="000F7D5B" w14:paraId="017BD08A" w14:textId="6D34B8F0">
      <w:pPr>
        <w:pStyle w:val="BodyText"/>
        <w:ind w:left="567" w:right="523"/>
        <w:jc w:val="both"/>
        <w:rPr>
          <w:sz w:val="20"/>
          <w:szCs w:val="20"/>
        </w:rPr>
      </w:pPr>
      <w:r>
        <w:rPr>
          <w:sz w:val="20"/>
          <w:szCs w:val="20"/>
        </w:rPr>
        <w:t xml:space="preserve">In exercising this discretion, the Investment Manager will </w:t>
      </w:r>
      <w:r w:rsidR="008B2A57">
        <w:rPr>
          <w:sz w:val="20"/>
          <w:szCs w:val="20"/>
        </w:rPr>
        <w:t>apply a</w:t>
      </w:r>
      <w:r w:rsidR="00897CEB">
        <w:rPr>
          <w:sz w:val="20"/>
          <w:szCs w:val="20"/>
        </w:rPr>
        <w:t xml:space="preserve"> three stage process to select, monitor and exit Underlying Funds. </w:t>
      </w:r>
    </w:p>
    <w:p w:rsidR="00616C03" w:rsidP="00616C03" w:rsidRDefault="00616C03" w14:paraId="2E7C1352" w14:textId="77777777">
      <w:pPr>
        <w:pStyle w:val="BodyText"/>
        <w:ind w:left="567" w:right="523"/>
        <w:jc w:val="both"/>
        <w:rPr>
          <w:sz w:val="20"/>
          <w:szCs w:val="20"/>
        </w:rPr>
      </w:pPr>
    </w:p>
    <w:p w:rsidR="00897CEB" w:rsidP="00616C03" w:rsidRDefault="00897CEB" w14:paraId="22A8D86B" w14:textId="77777777">
      <w:pPr>
        <w:pStyle w:val="BodyText"/>
        <w:ind w:left="567" w:right="523"/>
        <w:jc w:val="both"/>
        <w:rPr>
          <w:i/>
          <w:iCs/>
          <w:sz w:val="20"/>
          <w:szCs w:val="20"/>
        </w:rPr>
      </w:pPr>
      <w:r>
        <w:rPr>
          <w:i/>
          <w:iCs/>
          <w:sz w:val="20"/>
          <w:szCs w:val="20"/>
        </w:rPr>
        <w:t xml:space="preserve">Selection </w:t>
      </w:r>
    </w:p>
    <w:p w:rsidR="00897CEB" w:rsidP="00616C03" w:rsidRDefault="00897CEB" w14:paraId="421102C0" w14:textId="77777777">
      <w:pPr>
        <w:pStyle w:val="BodyText"/>
        <w:ind w:left="567" w:right="523"/>
        <w:jc w:val="both"/>
        <w:rPr>
          <w:i/>
          <w:iCs/>
          <w:sz w:val="20"/>
          <w:szCs w:val="20"/>
        </w:rPr>
      </w:pPr>
    </w:p>
    <w:p w:rsidR="00DB7EA5" w:rsidP="00616C03" w:rsidRDefault="00897CEB" w14:paraId="4A38F6AB" w14:textId="5829F3D0">
      <w:pPr>
        <w:pStyle w:val="BodyText"/>
        <w:ind w:left="567" w:right="523"/>
        <w:jc w:val="both"/>
        <w:rPr>
          <w:sz w:val="20"/>
          <w:szCs w:val="20"/>
        </w:rPr>
      </w:pPr>
      <w:r>
        <w:rPr>
          <w:sz w:val="20"/>
          <w:szCs w:val="20"/>
        </w:rPr>
        <w:t xml:space="preserve">In selecting the Underlying Funds in which the Fund will invest </w:t>
      </w:r>
      <w:r w:rsidR="008B2A57">
        <w:rPr>
          <w:sz w:val="20"/>
          <w:szCs w:val="20"/>
        </w:rPr>
        <w:t xml:space="preserve"> with the glide path allocation thresholds, </w:t>
      </w:r>
      <w:r>
        <w:rPr>
          <w:sz w:val="20"/>
          <w:szCs w:val="20"/>
        </w:rPr>
        <w:t>the Investment Manager will assess an</w:t>
      </w:r>
      <w:r w:rsidR="008B2A57">
        <w:rPr>
          <w:sz w:val="20"/>
          <w:szCs w:val="20"/>
        </w:rPr>
        <w:t xml:space="preserve"> Underlying Fund’s (i) fees and costs (including its total expense ratio and potential tax leakage); (ii)</w:t>
      </w:r>
      <w:r w:rsidR="00616C03">
        <w:rPr>
          <w:sz w:val="20"/>
          <w:szCs w:val="20"/>
        </w:rPr>
        <w:t xml:space="preserve"> passive or active investment strategy; (i</w:t>
      </w:r>
      <w:r w:rsidR="008F1E47">
        <w:rPr>
          <w:sz w:val="20"/>
          <w:szCs w:val="20"/>
        </w:rPr>
        <w:t>ii</w:t>
      </w:r>
      <w:r w:rsidR="00616C03">
        <w:rPr>
          <w:sz w:val="20"/>
          <w:szCs w:val="20"/>
        </w:rPr>
        <w:t>) historical risk performance (including, with respect to passively managed Underlying Funds, the tracking difference against its benchmark); (</w:t>
      </w:r>
      <w:r w:rsidR="008F1E47">
        <w:rPr>
          <w:sz w:val="20"/>
          <w:szCs w:val="20"/>
        </w:rPr>
        <w:t>i</w:t>
      </w:r>
      <w:r w:rsidR="00616C03">
        <w:rPr>
          <w:sz w:val="20"/>
          <w:szCs w:val="20"/>
        </w:rPr>
        <w:t xml:space="preserve">v) structure, including derivative usage and legal domicile; (v) liquidity; and (vii) </w:t>
      </w:r>
      <w:bookmarkStart w:name="_Hlk181196512" w:id="6"/>
      <w:r w:rsidR="00B34D16">
        <w:rPr>
          <w:sz w:val="20"/>
          <w:szCs w:val="20"/>
        </w:rPr>
        <w:t>correlation to another Underlying Fund in which the Fund invests to avoid a duplication in exposure where two Underlying Funds are strongly correlated</w:t>
      </w:r>
      <w:bookmarkEnd w:id="6"/>
      <w:r w:rsidR="00B34D16">
        <w:rPr>
          <w:sz w:val="20"/>
          <w:szCs w:val="20"/>
        </w:rPr>
        <w:t xml:space="preserve"> are considered when selecting Underlying Funds. </w:t>
      </w:r>
    </w:p>
    <w:p w:rsidR="00A91D8F" w:rsidP="00B97D15" w:rsidRDefault="00A91D8F" w14:paraId="3BC5F2EF" w14:textId="77777777">
      <w:pPr>
        <w:pStyle w:val="BodyText"/>
        <w:ind w:left="567" w:right="523"/>
        <w:jc w:val="both"/>
        <w:rPr>
          <w:sz w:val="20"/>
          <w:szCs w:val="20"/>
        </w:rPr>
      </w:pPr>
    </w:p>
    <w:p w:rsidR="00A91D8F" w:rsidP="00A91D8F" w:rsidRDefault="00B34D16" w14:paraId="2C651822" w14:textId="7E96CEFB">
      <w:pPr>
        <w:pStyle w:val="BodyText"/>
        <w:ind w:left="567" w:right="523"/>
        <w:jc w:val="both"/>
        <w:rPr>
          <w:sz w:val="20"/>
          <w:szCs w:val="20"/>
        </w:rPr>
      </w:pPr>
      <w:r>
        <w:rPr>
          <w:sz w:val="20"/>
          <w:szCs w:val="20"/>
        </w:rPr>
        <w:t xml:space="preserve">In addition to the above, the Investment Manager will have regard to how Underlying Funds that have performed through different market cycles, </w:t>
      </w:r>
      <w:bookmarkStart w:name="_Hlk181196596" w:id="7"/>
      <w:r>
        <w:rPr>
          <w:sz w:val="20"/>
          <w:szCs w:val="20"/>
        </w:rPr>
        <w:t xml:space="preserve">with good performance in adverse market environments given greater weight than good performance in </w:t>
      </w:r>
      <w:proofErr w:type="spellStart"/>
      <w:r>
        <w:rPr>
          <w:sz w:val="20"/>
          <w:szCs w:val="20"/>
        </w:rPr>
        <w:t>favourable</w:t>
      </w:r>
      <w:proofErr w:type="spellEnd"/>
      <w:r>
        <w:rPr>
          <w:sz w:val="20"/>
          <w:szCs w:val="20"/>
        </w:rPr>
        <w:t xml:space="preserve"> environments</w:t>
      </w:r>
      <w:bookmarkEnd w:id="7"/>
      <w:r>
        <w:rPr>
          <w:sz w:val="20"/>
          <w:szCs w:val="20"/>
        </w:rPr>
        <w:t xml:space="preserve">. </w:t>
      </w:r>
      <w:bookmarkStart w:name="_Hlk181196612" w:id="8"/>
      <w:r>
        <w:rPr>
          <w:sz w:val="20"/>
          <w:szCs w:val="20"/>
        </w:rPr>
        <w:t xml:space="preserve">The Investment Manager will </w:t>
      </w:r>
      <w:proofErr w:type="spellStart"/>
      <w:r>
        <w:rPr>
          <w:sz w:val="20"/>
          <w:szCs w:val="20"/>
        </w:rPr>
        <w:t>favour</w:t>
      </w:r>
      <w:proofErr w:type="spellEnd"/>
      <w:r>
        <w:rPr>
          <w:sz w:val="20"/>
          <w:szCs w:val="20"/>
        </w:rPr>
        <w:t xml:space="preserve"> Underlying Funds which have had consistent performance over those which have had periods of significant outperformance of benchmarks and peers, followed by periods of significant underperformance</w:t>
      </w:r>
      <w:bookmarkEnd w:id="8"/>
      <w:r>
        <w:rPr>
          <w:sz w:val="20"/>
          <w:szCs w:val="20"/>
        </w:rPr>
        <w:t xml:space="preserve">. The Investment Manager will review the </w:t>
      </w:r>
      <w:proofErr w:type="gramStart"/>
      <w:r>
        <w:rPr>
          <w:sz w:val="20"/>
          <w:szCs w:val="20"/>
        </w:rPr>
        <w:t>manner in which</w:t>
      </w:r>
      <w:proofErr w:type="gramEnd"/>
      <w:r>
        <w:rPr>
          <w:sz w:val="20"/>
          <w:szCs w:val="20"/>
        </w:rPr>
        <w:t xml:space="preserve"> a target Underlying Fund has been managed and will have regard to the experience of the relevant portfolio manager(s), their </w:t>
      </w:r>
      <w:r>
        <w:rPr>
          <w:sz w:val="20"/>
          <w:szCs w:val="20"/>
        </w:rPr>
        <w:lastRenderedPageBreak/>
        <w:t>risk appetite, their adherence to stated investment strategies</w:t>
      </w:r>
      <w:r w:rsidR="001D5D8F">
        <w:rPr>
          <w:sz w:val="20"/>
          <w:szCs w:val="20"/>
        </w:rPr>
        <w:t xml:space="preserve"> </w:t>
      </w:r>
      <w:r>
        <w:rPr>
          <w:sz w:val="20"/>
          <w:szCs w:val="20"/>
        </w:rPr>
        <w:t>and to their communications and reporting to the market and to their existing investors.</w:t>
      </w:r>
      <w:r>
        <w:rPr>
          <w:sz w:val="20"/>
          <w:szCs w:val="20"/>
        </w:rPr>
        <w:tab/>
      </w:r>
    </w:p>
    <w:p w:rsidR="00A91D8F" w:rsidP="00A91D8F" w:rsidRDefault="00A91D8F" w14:paraId="4F76B1AF" w14:textId="77777777">
      <w:pPr>
        <w:pStyle w:val="BodyText"/>
        <w:ind w:left="567" w:right="523"/>
        <w:jc w:val="both"/>
        <w:rPr>
          <w:sz w:val="20"/>
          <w:szCs w:val="20"/>
        </w:rPr>
      </w:pPr>
    </w:p>
    <w:p w:rsidRPr="00A91D8F" w:rsidR="00A91D8F" w:rsidP="00A91D8F" w:rsidRDefault="00B34D16" w14:paraId="5A350636" w14:textId="02C8C393">
      <w:pPr>
        <w:pStyle w:val="BodyText"/>
        <w:ind w:left="567" w:right="523"/>
        <w:jc w:val="both"/>
        <w:rPr>
          <w:sz w:val="20"/>
          <w:szCs w:val="20"/>
        </w:rPr>
      </w:pPr>
      <w:r>
        <w:rPr>
          <w:sz w:val="20"/>
          <w:szCs w:val="20"/>
        </w:rPr>
        <w:t>While the Investment Manager will have regard to historical performance, it retains the ability to invest in more recently established Underlying Funds, where it believes that other factors, such as experience of the investment team, investment strategy, cost, liquidity or other relevant factors to outweigh the absence of a significant track record.</w:t>
      </w:r>
    </w:p>
    <w:p w:rsidR="00DB7EA5" w:rsidP="00B97D15" w:rsidRDefault="00DB7EA5" w14:paraId="2F632162" w14:textId="77777777">
      <w:pPr>
        <w:pStyle w:val="BodyText"/>
        <w:ind w:right="523"/>
        <w:jc w:val="both"/>
        <w:rPr>
          <w:i/>
          <w:iCs/>
          <w:sz w:val="20"/>
          <w:szCs w:val="20"/>
        </w:rPr>
      </w:pPr>
    </w:p>
    <w:p w:rsidR="0029446D" w:rsidP="008F41D7" w:rsidRDefault="0029446D" w14:paraId="71F10C4D" w14:textId="6FFEF251">
      <w:pPr>
        <w:pStyle w:val="BodyText"/>
        <w:ind w:left="567" w:right="523"/>
        <w:jc w:val="both"/>
        <w:rPr>
          <w:i/>
          <w:iCs/>
          <w:sz w:val="20"/>
        </w:rPr>
      </w:pPr>
      <w:r>
        <w:rPr>
          <w:i/>
          <w:iCs/>
          <w:sz w:val="20"/>
        </w:rPr>
        <w:t xml:space="preserve">Monitor </w:t>
      </w:r>
    </w:p>
    <w:p w:rsidR="0029446D" w:rsidP="008F41D7" w:rsidRDefault="0029446D" w14:paraId="77C61C06" w14:textId="77777777">
      <w:pPr>
        <w:pStyle w:val="BodyText"/>
        <w:ind w:left="567" w:right="523"/>
        <w:jc w:val="both"/>
        <w:rPr>
          <w:i/>
          <w:iCs/>
          <w:sz w:val="20"/>
        </w:rPr>
      </w:pPr>
    </w:p>
    <w:p w:rsidR="0029446D" w:rsidP="00810B04" w:rsidRDefault="008F41D7" w14:paraId="61212FC2" w14:textId="67336F58">
      <w:pPr>
        <w:pStyle w:val="BodyText"/>
        <w:ind w:left="567" w:right="523"/>
        <w:jc w:val="both"/>
        <w:rPr>
          <w:sz w:val="20"/>
        </w:rPr>
      </w:pPr>
      <w:r>
        <w:rPr>
          <w:sz w:val="20"/>
        </w:rPr>
        <w:t xml:space="preserve">The </w:t>
      </w:r>
      <w:r w:rsidR="000D2496">
        <w:rPr>
          <w:sz w:val="20"/>
        </w:rPr>
        <w:t xml:space="preserve">performance of the </w:t>
      </w:r>
      <w:r>
        <w:rPr>
          <w:sz w:val="20"/>
          <w:szCs w:val="20"/>
        </w:rPr>
        <w:t xml:space="preserve">Underlying Funds </w:t>
      </w:r>
      <w:bookmarkStart w:name="_Hlk188000039" w:id="9"/>
      <w:r w:rsidR="000D2496">
        <w:rPr>
          <w:sz w:val="20"/>
          <w:szCs w:val="20"/>
        </w:rPr>
        <w:t>is monitored and reviewed by the Investment Manager</w:t>
      </w:r>
      <w:r w:rsidRPr="00ED532B">
        <w:rPr>
          <w:sz w:val="20"/>
        </w:rPr>
        <w:t xml:space="preserve"> on </w:t>
      </w:r>
      <w:r w:rsidR="000D2496">
        <w:rPr>
          <w:sz w:val="20"/>
        </w:rPr>
        <w:t xml:space="preserve">a weekly </w:t>
      </w:r>
      <w:r w:rsidRPr="00ED532B">
        <w:rPr>
          <w:sz w:val="20"/>
        </w:rPr>
        <w:t xml:space="preserve">basis </w:t>
      </w:r>
      <w:r w:rsidR="00810B04">
        <w:rPr>
          <w:sz w:val="20"/>
        </w:rPr>
        <w:t xml:space="preserve">through a combination of automated reporting and active monitoring and reporting carried out by the investment management team. Such monitoring and review </w:t>
      </w:r>
      <w:proofErr w:type="gramStart"/>
      <w:r w:rsidR="00810B04">
        <w:rPr>
          <w:sz w:val="20"/>
        </w:rPr>
        <w:t>is</w:t>
      </w:r>
      <w:proofErr w:type="gramEnd"/>
      <w:r w:rsidR="00810B04">
        <w:rPr>
          <w:sz w:val="20"/>
        </w:rPr>
        <w:t xml:space="preserve"> carried out against </w:t>
      </w:r>
      <w:r w:rsidR="0029446D">
        <w:rPr>
          <w:sz w:val="20"/>
        </w:rPr>
        <w:t xml:space="preserve">the selection criteria above to identify issues such as </w:t>
      </w:r>
      <w:r w:rsidRPr="00ED532B">
        <w:rPr>
          <w:sz w:val="20"/>
        </w:rPr>
        <w:t xml:space="preserve">underperformance or changes to </w:t>
      </w:r>
      <w:r w:rsidRPr="008F41D7">
        <w:rPr>
          <w:sz w:val="20"/>
          <w:szCs w:val="20"/>
        </w:rPr>
        <w:t>investment</w:t>
      </w:r>
      <w:r w:rsidRPr="00ED532B">
        <w:rPr>
          <w:sz w:val="20"/>
        </w:rPr>
        <w:t xml:space="preserve"> process or personnel</w:t>
      </w:r>
      <w:bookmarkEnd w:id="9"/>
      <w:r>
        <w:rPr>
          <w:sz w:val="20"/>
        </w:rPr>
        <w:t xml:space="preserve">. </w:t>
      </w:r>
    </w:p>
    <w:p w:rsidR="0029446D" w:rsidP="008F41D7" w:rsidRDefault="0029446D" w14:paraId="08589E5E" w14:textId="77777777">
      <w:pPr>
        <w:pStyle w:val="BodyText"/>
        <w:ind w:left="567" w:right="523"/>
        <w:jc w:val="both"/>
        <w:rPr>
          <w:sz w:val="20"/>
        </w:rPr>
      </w:pPr>
    </w:p>
    <w:p w:rsidR="0029446D" w:rsidP="008F41D7" w:rsidRDefault="0029446D" w14:paraId="5986C141" w14:textId="77777777">
      <w:pPr>
        <w:pStyle w:val="BodyText"/>
        <w:ind w:left="567" w:right="523"/>
        <w:jc w:val="both"/>
        <w:rPr>
          <w:i/>
          <w:iCs/>
          <w:sz w:val="20"/>
        </w:rPr>
      </w:pPr>
      <w:r>
        <w:rPr>
          <w:i/>
          <w:iCs/>
          <w:sz w:val="20"/>
        </w:rPr>
        <w:t xml:space="preserve">Exit </w:t>
      </w:r>
    </w:p>
    <w:p w:rsidR="0029446D" w:rsidP="008F41D7" w:rsidRDefault="0029446D" w14:paraId="175D25E5" w14:textId="77777777">
      <w:pPr>
        <w:pStyle w:val="BodyText"/>
        <w:ind w:left="567" w:right="523"/>
        <w:jc w:val="both"/>
        <w:rPr>
          <w:i/>
          <w:iCs/>
          <w:sz w:val="20"/>
        </w:rPr>
      </w:pPr>
    </w:p>
    <w:p w:rsidR="008F41D7" w:rsidP="008F41D7" w:rsidRDefault="008F41D7" w14:paraId="78C4A484" w14:textId="21B0D160">
      <w:pPr>
        <w:pStyle w:val="BodyText"/>
        <w:ind w:left="567" w:right="523"/>
        <w:jc w:val="both"/>
        <w:rPr>
          <w:sz w:val="20"/>
        </w:rPr>
      </w:pPr>
      <w:r>
        <w:rPr>
          <w:sz w:val="20"/>
          <w:szCs w:val="20"/>
        </w:rPr>
        <w:t xml:space="preserve">Underlying Funds and/or managers of the Underlying Funds </w:t>
      </w:r>
      <w:r>
        <w:rPr>
          <w:sz w:val="20"/>
        </w:rPr>
        <w:t xml:space="preserve">may be placed on a watch list and the investment may be exited if, </w:t>
      </w:r>
      <w:proofErr w:type="gramStart"/>
      <w:r>
        <w:rPr>
          <w:sz w:val="20"/>
        </w:rPr>
        <w:t>during the course of</w:t>
      </w:r>
      <w:proofErr w:type="gramEnd"/>
      <w:r>
        <w:rPr>
          <w:sz w:val="20"/>
        </w:rPr>
        <w:t xml:space="preserve"> ongoing due diligence, concerns relating to issues such as performance or the investment process are not resolved or if there are alternative investment opportunities.</w:t>
      </w:r>
    </w:p>
    <w:p w:rsidR="008F41D7" w:rsidP="00B97D15" w:rsidRDefault="008F41D7" w14:paraId="0B23D590" w14:textId="77777777">
      <w:pPr>
        <w:pStyle w:val="BodyText"/>
        <w:ind w:right="523"/>
        <w:jc w:val="both"/>
        <w:rPr>
          <w:i/>
          <w:iCs/>
          <w:sz w:val="20"/>
          <w:szCs w:val="20"/>
        </w:rPr>
      </w:pPr>
    </w:p>
    <w:p w:rsidR="00CE399E" w:rsidP="00BB0FBA" w:rsidRDefault="00B34D16" w14:paraId="3421CDA1" w14:textId="5381A350">
      <w:pPr>
        <w:pStyle w:val="BodyText"/>
        <w:ind w:left="567" w:right="523"/>
        <w:jc w:val="both"/>
        <w:rPr>
          <w:i/>
          <w:iCs/>
          <w:sz w:val="20"/>
          <w:szCs w:val="20"/>
        </w:rPr>
      </w:pPr>
      <w:r>
        <w:rPr>
          <w:i/>
          <w:iCs/>
          <w:sz w:val="20"/>
          <w:szCs w:val="20"/>
        </w:rPr>
        <w:t>Equity Funds</w:t>
      </w:r>
    </w:p>
    <w:p w:rsidR="00CE399E" w:rsidP="00BB0FBA" w:rsidRDefault="00CE399E" w14:paraId="4B9842E7" w14:textId="77777777">
      <w:pPr>
        <w:pStyle w:val="BodyText"/>
        <w:ind w:left="567" w:right="523"/>
        <w:jc w:val="both"/>
        <w:rPr>
          <w:i/>
          <w:iCs/>
          <w:sz w:val="20"/>
          <w:szCs w:val="20"/>
        </w:rPr>
      </w:pPr>
    </w:p>
    <w:p w:rsidR="00E67E44" w:rsidP="00BB0FBA" w:rsidRDefault="00B34D16" w14:paraId="5B5D50BB" w14:textId="1C73F857">
      <w:pPr>
        <w:pStyle w:val="BodyText"/>
        <w:ind w:left="567" w:right="523"/>
        <w:jc w:val="both"/>
        <w:rPr>
          <w:rFonts w:eastAsia="Calibri"/>
          <w:sz w:val="20"/>
        </w:rPr>
      </w:pPr>
      <w:r>
        <w:rPr>
          <w:sz w:val="20"/>
          <w:szCs w:val="20"/>
        </w:rPr>
        <w:t xml:space="preserve">The equity exposure of the Fund is generated through investment in the Equity Funds, and the investments of the Equity Funds will comprise </w:t>
      </w:r>
      <w:r>
        <w:rPr>
          <w:rFonts w:eastAsia="Calibri"/>
          <w:sz w:val="20"/>
        </w:rPr>
        <w:t xml:space="preserve">equity and equity related securities, including common stock, preferred stock, </w:t>
      </w:r>
      <w:r>
        <w:rPr>
          <w:sz w:val="20"/>
          <w:szCs w:val="20"/>
        </w:rPr>
        <w:t xml:space="preserve">real estate investment trusts (“REITs”), </w:t>
      </w:r>
      <w:r>
        <w:rPr>
          <w:rFonts w:eastAsia="Calibri"/>
          <w:sz w:val="20"/>
        </w:rPr>
        <w:t xml:space="preserve">convertible securities </w:t>
      </w:r>
      <w:r w:rsidR="00FB4720">
        <w:rPr>
          <w:rFonts w:eastAsia="Calibri"/>
          <w:sz w:val="20"/>
        </w:rPr>
        <w:t>(excluding contingent convertible securities)</w:t>
      </w:r>
      <w:r>
        <w:rPr>
          <w:rFonts w:eastAsia="Calibri"/>
          <w:sz w:val="20"/>
        </w:rPr>
        <w:t>, ADRs and GDRs. ADRs are equity securities traded on U.S. securities exchanges, which are generally issued by banks or trust companies to evidence ownership of foreign equity securities. GDRs are the non-U.S. equivalents of ADRs.</w:t>
      </w:r>
    </w:p>
    <w:p w:rsidR="00A628F5" w:rsidP="00BB0FBA" w:rsidRDefault="00A628F5" w14:paraId="37AE3E72" w14:textId="77777777">
      <w:pPr>
        <w:pStyle w:val="BodyText"/>
        <w:ind w:left="567" w:right="523"/>
        <w:jc w:val="both"/>
        <w:rPr>
          <w:rFonts w:eastAsia="Calibri"/>
          <w:sz w:val="20"/>
        </w:rPr>
      </w:pPr>
    </w:p>
    <w:p w:rsidR="00A628F5" w:rsidP="00BB0FBA" w:rsidRDefault="00B34D16" w14:paraId="055B20E6" w14:textId="396D4C38">
      <w:pPr>
        <w:pStyle w:val="BodyText"/>
        <w:ind w:left="567" w:right="523"/>
        <w:jc w:val="both"/>
        <w:rPr>
          <w:rFonts w:eastAsia="Calibri"/>
          <w:sz w:val="20"/>
        </w:rPr>
      </w:pPr>
      <w:r>
        <w:rPr>
          <w:sz w:val="20"/>
          <w:szCs w:val="20"/>
        </w:rPr>
        <w:t xml:space="preserve">The allocation to Equity Funds may be diversified by style (including both value and growth), market capitalization (including emerging growth, large-, mid-, and small-capitalization), region (i.e., U.S, and international, including emerging markets). </w:t>
      </w:r>
    </w:p>
    <w:p w:rsidR="00CE399E" w:rsidP="007078EE" w:rsidRDefault="00CE399E" w14:paraId="7272B8CD" w14:textId="77777777">
      <w:pPr>
        <w:pStyle w:val="BodyText"/>
        <w:ind w:right="523"/>
        <w:jc w:val="both"/>
        <w:rPr>
          <w:i/>
          <w:iCs/>
          <w:sz w:val="20"/>
          <w:szCs w:val="20"/>
        </w:rPr>
      </w:pPr>
    </w:p>
    <w:p w:rsidR="00CE399E" w:rsidP="00BB0FBA" w:rsidRDefault="00B34D16" w14:paraId="6A6297A4" w14:textId="77777777">
      <w:pPr>
        <w:pStyle w:val="BodyText"/>
        <w:ind w:left="567" w:right="523"/>
        <w:jc w:val="both"/>
        <w:rPr>
          <w:i/>
          <w:iCs/>
          <w:sz w:val="20"/>
          <w:szCs w:val="20"/>
        </w:rPr>
      </w:pPr>
      <w:r>
        <w:rPr>
          <w:i/>
          <w:iCs/>
          <w:sz w:val="20"/>
          <w:szCs w:val="20"/>
        </w:rPr>
        <w:t>Fixed Income Funds</w:t>
      </w:r>
    </w:p>
    <w:p w:rsidR="00CE399E" w:rsidP="00BB0FBA" w:rsidRDefault="00CE399E" w14:paraId="0153B0B3" w14:textId="77777777">
      <w:pPr>
        <w:pStyle w:val="BodyText"/>
        <w:ind w:left="567" w:right="523"/>
        <w:jc w:val="both"/>
        <w:rPr>
          <w:i/>
          <w:iCs/>
          <w:sz w:val="20"/>
          <w:szCs w:val="20"/>
        </w:rPr>
      </w:pPr>
    </w:p>
    <w:p w:rsidR="00BB0FBA" w:rsidP="00BB0FBA" w:rsidRDefault="00B34D16" w14:paraId="52100B60" w14:textId="0CCED256">
      <w:pPr>
        <w:pStyle w:val="BodyText"/>
        <w:ind w:left="567" w:right="523"/>
        <w:jc w:val="both"/>
        <w:rPr>
          <w:sz w:val="20"/>
          <w:szCs w:val="20"/>
        </w:rPr>
      </w:pPr>
      <w:r>
        <w:rPr>
          <w:sz w:val="20"/>
          <w:szCs w:val="20"/>
        </w:rPr>
        <w:t>The fixed income exposure of the Fund will comprise of at least 80% investment grade rated securities as rated by one or more rating agencies</w:t>
      </w:r>
      <w:r>
        <w:rPr>
          <w:color w:val="000000"/>
          <w:spacing w:val="1"/>
        </w:rPr>
        <w:t xml:space="preserve"> </w:t>
      </w:r>
      <w:r>
        <w:rPr>
          <w:sz w:val="20"/>
          <w:szCs w:val="20"/>
        </w:rPr>
        <w:t xml:space="preserve">(but may also comprise non-investment grade or unrated) fixed and floating rate global government and corporate fixed income securities / bonds, asset-backed and mortgage-backed securities. </w:t>
      </w:r>
    </w:p>
    <w:p w:rsidR="00A628F5" w:rsidP="00BB0FBA" w:rsidRDefault="00A628F5" w14:paraId="66F7C2BF" w14:textId="77777777">
      <w:pPr>
        <w:pStyle w:val="BodyText"/>
        <w:ind w:left="567" w:right="523"/>
        <w:jc w:val="both"/>
        <w:rPr>
          <w:sz w:val="20"/>
          <w:szCs w:val="20"/>
        </w:rPr>
      </w:pPr>
    </w:p>
    <w:p w:rsidR="00A628F5" w:rsidP="00AA05DA" w:rsidRDefault="00B34D16" w14:paraId="271F0D38" w14:textId="2E840E30">
      <w:pPr>
        <w:pStyle w:val="BodyText"/>
        <w:ind w:left="567" w:right="523"/>
        <w:jc w:val="both"/>
        <w:rPr>
          <w:sz w:val="20"/>
          <w:szCs w:val="20"/>
        </w:rPr>
      </w:pPr>
      <w:r>
        <w:rPr>
          <w:sz w:val="20"/>
          <w:szCs w:val="20"/>
        </w:rPr>
        <w:t xml:space="preserve">The allocation to Fixed Income Funds may be diversified by sector (including government, corporate, U.S. agency MBS or debentures, CMBS, and other sectors), duration (a of measurement of interest rate risk), credit quality (including investment grade bonds and high yield bonds), geographic location (including U.S. and non-U.S. securities, including bonds of emerging market issuers), currency (U.S. dollar-denominated or local currency bonds). </w:t>
      </w:r>
    </w:p>
    <w:p w:rsidR="00DB7EA5" w:rsidP="00A91D8F" w:rsidRDefault="00DB7EA5" w14:paraId="59D8381F" w14:textId="77777777">
      <w:pPr>
        <w:pStyle w:val="BodyText"/>
        <w:ind w:right="523"/>
        <w:jc w:val="both"/>
        <w:rPr>
          <w:sz w:val="20"/>
          <w:szCs w:val="20"/>
        </w:rPr>
      </w:pPr>
    </w:p>
    <w:p w:rsidR="008A6247" w:rsidP="00BB0FBA" w:rsidRDefault="00B34D16" w14:paraId="65FC0D3C" w14:textId="6E15C0C8">
      <w:pPr>
        <w:pStyle w:val="BodyText"/>
        <w:ind w:left="567" w:right="523"/>
        <w:jc w:val="both"/>
        <w:rPr>
          <w:sz w:val="20"/>
          <w:szCs w:val="20"/>
        </w:rPr>
      </w:pPr>
      <w:r>
        <w:rPr>
          <w:sz w:val="20"/>
          <w:szCs w:val="20"/>
        </w:rPr>
        <w:t xml:space="preserve">Underlying Funds may generate their exposure to underlying securities through derivative securities or instruments, such as options and futures, the value of which is derived from another security, a currency or commodity, an interest rate or an index, when seeking to match the performance of the </w:t>
      </w:r>
      <w:proofErr w:type="gramStart"/>
      <w:r>
        <w:rPr>
          <w:sz w:val="20"/>
          <w:szCs w:val="20"/>
        </w:rPr>
        <w:t>particular market</w:t>
      </w:r>
      <w:proofErr w:type="gramEnd"/>
      <w:r>
        <w:rPr>
          <w:sz w:val="20"/>
          <w:szCs w:val="20"/>
        </w:rPr>
        <w:t xml:space="preserve"> index being tracked by the Underlying Fund. </w:t>
      </w:r>
    </w:p>
    <w:p w:rsidR="008A6247" w:rsidP="00BB0FBA" w:rsidRDefault="008A6247" w14:paraId="75179A0F" w14:textId="77777777">
      <w:pPr>
        <w:pStyle w:val="BodyText"/>
        <w:ind w:left="567" w:right="523"/>
        <w:jc w:val="both"/>
        <w:rPr>
          <w:sz w:val="20"/>
          <w:szCs w:val="20"/>
        </w:rPr>
      </w:pPr>
    </w:p>
    <w:p w:rsidR="00BB0FBA" w:rsidP="00BB0FBA" w:rsidRDefault="00B34D16" w14:paraId="5E66A1FB" w14:textId="0F9BC5B3">
      <w:pPr>
        <w:pStyle w:val="BodyText"/>
        <w:ind w:left="567" w:right="523"/>
        <w:jc w:val="both"/>
        <w:rPr>
          <w:sz w:val="20"/>
          <w:szCs w:val="20"/>
        </w:rPr>
      </w:pPr>
      <w:r>
        <w:rPr>
          <w:sz w:val="20"/>
          <w:szCs w:val="20"/>
        </w:rPr>
        <w:t xml:space="preserve">Though the Investment Manager seeks to diversify the Fund, certain Underlying Funds may concentrate their investments in specific sectors or geographic regions or countries. The percentage allocation to the various styles of Equity Funds and Fixed Income Funds within </w:t>
      </w:r>
      <w:r>
        <w:rPr>
          <w:sz w:val="20"/>
          <w:szCs w:val="20"/>
        </w:rPr>
        <w:lastRenderedPageBreak/>
        <w:t>the glide path targets is determined at the discretion of the Investment Manager and can be changed to reflect the current market environment.</w:t>
      </w:r>
    </w:p>
    <w:p w:rsidR="00BB0FBA" w:rsidP="00BB0FBA" w:rsidRDefault="00BB0FBA" w14:paraId="2261009D" w14:textId="77777777">
      <w:pPr>
        <w:pStyle w:val="BodyText"/>
        <w:ind w:left="567" w:right="523"/>
        <w:jc w:val="both"/>
        <w:rPr>
          <w:sz w:val="20"/>
          <w:szCs w:val="20"/>
        </w:rPr>
      </w:pPr>
    </w:p>
    <w:p w:rsidRPr="0040511C" w:rsidR="001D2E4C" w:rsidP="00A91D8F" w:rsidRDefault="00B34D16" w14:paraId="2DA1F2DC" w14:textId="77777777">
      <w:pPr>
        <w:pStyle w:val="BodyText"/>
        <w:ind w:left="567" w:right="523"/>
        <w:jc w:val="both"/>
        <w:rPr>
          <w:i/>
          <w:iCs/>
          <w:sz w:val="20"/>
          <w:szCs w:val="20"/>
          <w:lang w:val="en-IE"/>
        </w:rPr>
      </w:pPr>
      <w:r w:rsidRPr="0040511C">
        <w:rPr>
          <w:i/>
          <w:iCs/>
          <w:sz w:val="20"/>
          <w:szCs w:val="20"/>
          <w:lang w:val="en-IE"/>
        </w:rPr>
        <w:t>ETCs</w:t>
      </w:r>
    </w:p>
    <w:p w:rsidR="0047531C" w:rsidP="0047531C" w:rsidRDefault="0047531C" w14:paraId="787A95C5" w14:textId="77777777">
      <w:pPr>
        <w:pStyle w:val="BodyText"/>
        <w:ind w:right="523"/>
        <w:jc w:val="both"/>
        <w:rPr>
          <w:sz w:val="20"/>
          <w:szCs w:val="20"/>
        </w:rPr>
      </w:pPr>
    </w:p>
    <w:p w:rsidR="0040511C" w:rsidP="0040511C" w:rsidRDefault="0040511C" w14:paraId="32382F75" w14:textId="740DF545">
      <w:pPr>
        <w:pStyle w:val="BodyText"/>
        <w:ind w:left="567" w:right="523"/>
        <w:jc w:val="both"/>
        <w:rPr>
          <w:sz w:val="20"/>
          <w:szCs w:val="20"/>
        </w:rPr>
      </w:pPr>
      <w:r>
        <w:rPr>
          <w:sz w:val="20"/>
          <w:szCs w:val="20"/>
        </w:rPr>
        <w:t xml:space="preserve">The underlying asset class exposure of the </w:t>
      </w:r>
      <w:r w:rsidR="008F1E47">
        <w:rPr>
          <w:sz w:val="20"/>
          <w:szCs w:val="20"/>
        </w:rPr>
        <w:t xml:space="preserve">UCITS eligible </w:t>
      </w:r>
      <w:r>
        <w:rPr>
          <w:sz w:val="20"/>
          <w:szCs w:val="20"/>
        </w:rPr>
        <w:t xml:space="preserve">ETCs invested in by the Fund will comprise </w:t>
      </w:r>
      <w:bookmarkStart w:name="_Hlk184983348" w:id="10"/>
      <w:r>
        <w:rPr>
          <w:sz w:val="20"/>
          <w:szCs w:val="20"/>
        </w:rPr>
        <w:t>grains, energy, industrial metals, precious metals, livestock &amp; softs</w:t>
      </w:r>
      <w:bookmarkEnd w:id="10"/>
      <w:r>
        <w:rPr>
          <w:sz w:val="20"/>
          <w:szCs w:val="20"/>
        </w:rPr>
        <w:t xml:space="preserve">. As the Fund has a limited maturity, the Fund will only invest in </w:t>
      </w:r>
      <w:r w:rsidR="008F1E47">
        <w:rPr>
          <w:sz w:val="20"/>
          <w:szCs w:val="20"/>
        </w:rPr>
        <w:t xml:space="preserve">UCITS eligible </w:t>
      </w:r>
      <w:r>
        <w:rPr>
          <w:sz w:val="20"/>
          <w:szCs w:val="20"/>
        </w:rPr>
        <w:t xml:space="preserve">ETCs which may be sold (as determined at the time of purchase) before or on the Maturity Date. </w:t>
      </w:r>
    </w:p>
    <w:p w:rsidR="001D2E4C" w:rsidP="00A91D8F" w:rsidRDefault="001D2E4C" w14:paraId="3CA87C96" w14:textId="77777777">
      <w:pPr>
        <w:pStyle w:val="BodyText"/>
        <w:ind w:left="567" w:right="523"/>
        <w:jc w:val="both"/>
        <w:rPr>
          <w:sz w:val="20"/>
          <w:szCs w:val="20"/>
        </w:rPr>
      </w:pPr>
    </w:p>
    <w:p w:rsidR="00AD74F3" w:rsidP="00AD74F3" w:rsidRDefault="0040511C" w14:paraId="2C6600E6" w14:textId="5687490F">
      <w:pPr>
        <w:pStyle w:val="BodyText"/>
        <w:ind w:left="567" w:right="523"/>
        <w:jc w:val="both"/>
        <w:rPr>
          <w:sz w:val="20"/>
          <w:szCs w:val="20"/>
        </w:rPr>
      </w:pPr>
      <w:r>
        <w:rPr>
          <w:sz w:val="20"/>
          <w:szCs w:val="20"/>
        </w:rPr>
        <w:t xml:space="preserve">The </w:t>
      </w:r>
      <w:r w:rsidR="008F1E47">
        <w:rPr>
          <w:sz w:val="20"/>
          <w:szCs w:val="20"/>
        </w:rPr>
        <w:t xml:space="preserve">UCITS eligible </w:t>
      </w:r>
      <w:r>
        <w:rPr>
          <w:sz w:val="20"/>
          <w:szCs w:val="20"/>
        </w:rPr>
        <w:t>ETCs invested in by the Fund will embed Total Return Swaps and/or futures contracts</w:t>
      </w:r>
      <w:r w:rsidR="00AD74F3">
        <w:rPr>
          <w:sz w:val="20"/>
          <w:szCs w:val="20"/>
        </w:rPr>
        <w:t xml:space="preserve">, further detail of which is set out in section 3.8 of the Prospectus entitled “Use of FDI”. The risk management process in respect of the ICAV on behalf of the Fund has been filed with the Central Bank. </w:t>
      </w:r>
      <w:r w:rsidRPr="00AD74F3" w:rsidR="00AD74F3">
        <w:rPr>
          <w:sz w:val="20"/>
          <w:szCs w:val="20"/>
        </w:rPr>
        <w:t xml:space="preserve">This accurately measures, monitors and manages the various risks associated with the use of FDI and Securities Financing Transactions where appropriate. Any FDI not included in the risk management process will not be </w:t>
      </w:r>
      <w:proofErr w:type="spellStart"/>
      <w:r w:rsidRPr="00AD74F3" w:rsidR="00AD74F3">
        <w:rPr>
          <w:sz w:val="20"/>
          <w:szCs w:val="20"/>
        </w:rPr>
        <w:t>utilised</w:t>
      </w:r>
      <w:proofErr w:type="spellEnd"/>
      <w:r w:rsidRPr="00AD74F3" w:rsidR="00AD74F3">
        <w:rPr>
          <w:sz w:val="20"/>
          <w:szCs w:val="20"/>
        </w:rPr>
        <w:t xml:space="preserve"> until such time as the risk management process has been updated, in accordance with the Central Bank requirements. The ICAV will, on request, provide supplementary information to Shareholders relating to the risk management methods employed, including the quantitative limits that are applied and any recent developments in the risk and yield characteristics of the main categories of investments.</w:t>
      </w:r>
    </w:p>
    <w:p w:rsidR="00AD74F3" w:rsidP="00AD74F3" w:rsidRDefault="00AD74F3" w14:paraId="21BAE208" w14:textId="77777777">
      <w:pPr>
        <w:pStyle w:val="BodyText"/>
        <w:ind w:left="567" w:right="523"/>
        <w:jc w:val="both"/>
        <w:rPr>
          <w:sz w:val="20"/>
          <w:szCs w:val="20"/>
        </w:rPr>
      </w:pPr>
    </w:p>
    <w:p w:rsidR="00AD74F3" w:rsidP="00AD74F3" w:rsidRDefault="00AD74F3" w14:paraId="144E6558" w14:textId="1F0A9AFE">
      <w:pPr>
        <w:pStyle w:val="BodyText"/>
        <w:ind w:left="567" w:right="523"/>
        <w:jc w:val="both"/>
        <w:rPr>
          <w:sz w:val="20"/>
          <w:szCs w:val="20"/>
        </w:rPr>
      </w:pPr>
      <w:r>
        <w:rPr>
          <w:sz w:val="20"/>
          <w:szCs w:val="20"/>
        </w:rPr>
        <w:t xml:space="preserve">The </w:t>
      </w:r>
      <w:r w:rsidR="008F1E47">
        <w:rPr>
          <w:sz w:val="20"/>
          <w:szCs w:val="20"/>
        </w:rPr>
        <w:t xml:space="preserve">UCITS eligible </w:t>
      </w:r>
      <w:r>
        <w:rPr>
          <w:sz w:val="20"/>
          <w:szCs w:val="20"/>
        </w:rPr>
        <w:t xml:space="preserve">ETCs invested in by the Fund will not embed leverage. </w:t>
      </w:r>
    </w:p>
    <w:p w:rsidRPr="0040511C" w:rsidR="0040511C" w:rsidP="00A91D8F" w:rsidRDefault="0040511C" w14:paraId="34628E94" w14:textId="77777777">
      <w:pPr>
        <w:pStyle w:val="BodyText"/>
        <w:ind w:left="567" w:right="523"/>
        <w:jc w:val="both"/>
        <w:rPr>
          <w:sz w:val="20"/>
          <w:szCs w:val="20"/>
        </w:rPr>
      </w:pPr>
    </w:p>
    <w:p w:rsidRPr="00A91D8F" w:rsidR="00A91D8F" w:rsidP="00A91D8F" w:rsidRDefault="00B34D16" w14:paraId="6A94FA3E" w14:textId="063A1793">
      <w:pPr>
        <w:pStyle w:val="BodyText"/>
        <w:ind w:left="567" w:right="523"/>
        <w:jc w:val="both"/>
        <w:rPr>
          <w:sz w:val="20"/>
          <w:szCs w:val="20"/>
          <w:lang w:val="en-IE"/>
        </w:rPr>
      </w:pPr>
      <w:r>
        <w:rPr>
          <w:sz w:val="20"/>
          <w:szCs w:val="20"/>
          <w:lang w:val="en-IE"/>
        </w:rPr>
        <w:t xml:space="preserve">The Investment Manager will actively </w:t>
      </w:r>
      <w:proofErr w:type="gramStart"/>
      <w:r>
        <w:rPr>
          <w:sz w:val="20"/>
          <w:szCs w:val="20"/>
          <w:lang w:val="en-IE"/>
        </w:rPr>
        <w:t>monitor the Fund’s portfolio at all times</w:t>
      </w:r>
      <w:proofErr w:type="gramEnd"/>
      <w:r>
        <w:rPr>
          <w:sz w:val="20"/>
          <w:szCs w:val="20"/>
          <w:lang w:val="en-IE"/>
        </w:rPr>
        <w:t xml:space="preserve"> to ensure that it maintains the glide path target exposure over the life of the Fund.  </w:t>
      </w:r>
    </w:p>
    <w:p w:rsidR="00BB0FBA" w:rsidP="00AB2EAD" w:rsidRDefault="00BB0FBA" w14:paraId="20FA2789" w14:textId="77777777">
      <w:pPr>
        <w:pStyle w:val="BodyText"/>
        <w:ind w:right="523"/>
        <w:jc w:val="both"/>
        <w:rPr>
          <w:sz w:val="20"/>
          <w:szCs w:val="20"/>
        </w:rPr>
      </w:pPr>
    </w:p>
    <w:p w:rsidR="00BB0FBA" w:rsidP="00BB0FBA" w:rsidRDefault="00B34D16" w14:paraId="37CB789B" w14:textId="20D999D5">
      <w:pPr>
        <w:pStyle w:val="BodyText"/>
        <w:ind w:left="567" w:right="523"/>
        <w:jc w:val="both"/>
        <w:rPr>
          <w:sz w:val="20"/>
          <w:szCs w:val="20"/>
        </w:rPr>
      </w:pPr>
      <w:r>
        <w:rPr>
          <w:sz w:val="20"/>
          <w:szCs w:val="20"/>
        </w:rPr>
        <w:t xml:space="preserve">The Fund does not intend to engage in securities lending. </w:t>
      </w:r>
    </w:p>
    <w:p w:rsidR="00BB0FBA" w:rsidP="008A6247" w:rsidRDefault="00BB0FBA" w14:paraId="36FD3482" w14:textId="77777777">
      <w:pPr>
        <w:pStyle w:val="BodyText"/>
        <w:ind w:right="523"/>
        <w:jc w:val="both"/>
        <w:rPr>
          <w:sz w:val="20"/>
          <w:szCs w:val="20"/>
        </w:rPr>
      </w:pPr>
    </w:p>
    <w:p w:rsidRPr="008A6247" w:rsidR="00BB0FBA" w:rsidP="00BB0FBA" w:rsidRDefault="00B34D16" w14:paraId="2AD43E89" w14:textId="2BBACDDE">
      <w:pPr>
        <w:pStyle w:val="ListParagraph"/>
        <w:tabs>
          <w:tab w:val="left" w:pos="1944"/>
        </w:tabs>
        <w:ind w:left="567" w:right="2685" w:firstLine="0"/>
        <w:jc w:val="both"/>
        <w:rPr>
          <w:rFonts w:ascii="Arial" w:hAnsi="Arial" w:cs="Arial"/>
          <w:b/>
          <w:bCs/>
          <w:i/>
          <w:iCs/>
          <w:sz w:val="20"/>
          <w:szCs w:val="20"/>
        </w:rPr>
      </w:pPr>
      <w:r>
        <w:rPr>
          <w:rFonts w:ascii="Arial" w:hAnsi="Arial" w:cs="Arial"/>
          <w:b/>
          <w:bCs/>
          <w:i/>
          <w:iCs/>
          <w:sz w:val="20"/>
          <w:szCs w:val="20"/>
        </w:rPr>
        <w:t>Cash</w:t>
      </w:r>
      <w:r>
        <w:rPr>
          <w:rFonts w:ascii="Arial" w:hAnsi="Arial" w:cs="Arial"/>
          <w:b/>
          <w:bCs/>
          <w:i/>
          <w:iCs/>
          <w:spacing w:val="-3"/>
          <w:sz w:val="20"/>
          <w:szCs w:val="20"/>
        </w:rPr>
        <w:t xml:space="preserve"> </w:t>
      </w:r>
      <w:r>
        <w:rPr>
          <w:rFonts w:ascii="Arial" w:hAnsi="Arial" w:cs="Arial"/>
          <w:b/>
          <w:bCs/>
          <w:i/>
          <w:iCs/>
          <w:sz w:val="20"/>
          <w:szCs w:val="20"/>
        </w:rPr>
        <w:t>Management</w:t>
      </w:r>
    </w:p>
    <w:p w:rsidRPr="00832783" w:rsidR="00BB0FBA" w:rsidP="00BB0FBA" w:rsidRDefault="00BB0FBA" w14:paraId="2B6FE969" w14:textId="77777777">
      <w:pPr>
        <w:pStyle w:val="ListParagraph"/>
        <w:tabs>
          <w:tab w:val="left" w:pos="1944"/>
        </w:tabs>
        <w:ind w:left="567" w:right="2685" w:firstLine="0"/>
        <w:jc w:val="both"/>
        <w:rPr>
          <w:sz w:val="20"/>
          <w:szCs w:val="20"/>
        </w:rPr>
      </w:pPr>
    </w:p>
    <w:p w:rsidR="00BB0FBA" w:rsidP="00BB0FBA" w:rsidRDefault="00B34D16" w14:paraId="7F5A1A3D" w14:textId="0D2F2583">
      <w:pPr>
        <w:pStyle w:val="BodyText"/>
        <w:ind w:left="567" w:right="523"/>
        <w:jc w:val="both"/>
        <w:rPr>
          <w:sz w:val="20"/>
          <w:szCs w:val="20"/>
        </w:rPr>
      </w:pPr>
      <w:r>
        <w:rPr>
          <w:sz w:val="20"/>
          <w:szCs w:val="20"/>
        </w:rPr>
        <w:t>The Fund</w:t>
      </w:r>
      <w:r>
        <w:rPr>
          <w:spacing w:val="-4"/>
          <w:sz w:val="20"/>
          <w:szCs w:val="20"/>
        </w:rPr>
        <w:t xml:space="preserve"> </w:t>
      </w:r>
      <w:r>
        <w:rPr>
          <w:sz w:val="20"/>
          <w:szCs w:val="20"/>
        </w:rPr>
        <w:t>may</w:t>
      </w:r>
      <w:r>
        <w:rPr>
          <w:spacing w:val="-5"/>
          <w:sz w:val="20"/>
          <w:szCs w:val="20"/>
        </w:rPr>
        <w:t xml:space="preserve"> </w:t>
      </w:r>
      <w:r>
        <w:rPr>
          <w:sz w:val="20"/>
          <w:szCs w:val="20"/>
        </w:rPr>
        <w:t>hold</w:t>
      </w:r>
      <w:r>
        <w:rPr>
          <w:spacing w:val="-2"/>
          <w:sz w:val="20"/>
          <w:szCs w:val="20"/>
        </w:rPr>
        <w:t xml:space="preserve"> </w:t>
      </w:r>
      <w:r>
        <w:rPr>
          <w:sz w:val="20"/>
          <w:szCs w:val="20"/>
        </w:rPr>
        <w:t>ancillary</w:t>
      </w:r>
      <w:r>
        <w:rPr>
          <w:spacing w:val="-5"/>
          <w:sz w:val="20"/>
          <w:szCs w:val="20"/>
        </w:rPr>
        <w:t xml:space="preserve"> </w:t>
      </w:r>
      <w:r>
        <w:rPr>
          <w:sz w:val="20"/>
          <w:szCs w:val="20"/>
        </w:rPr>
        <w:t>liquid</w:t>
      </w:r>
      <w:r>
        <w:rPr>
          <w:spacing w:val="-2"/>
          <w:sz w:val="20"/>
          <w:szCs w:val="20"/>
        </w:rPr>
        <w:t xml:space="preserve"> </w:t>
      </w:r>
      <w:r>
        <w:rPr>
          <w:sz w:val="20"/>
          <w:szCs w:val="20"/>
        </w:rPr>
        <w:t>assets</w:t>
      </w:r>
      <w:r>
        <w:rPr>
          <w:spacing w:val="-2"/>
          <w:sz w:val="20"/>
          <w:szCs w:val="20"/>
        </w:rPr>
        <w:t xml:space="preserve"> </w:t>
      </w:r>
      <w:r>
        <w:rPr>
          <w:sz w:val="20"/>
          <w:szCs w:val="20"/>
        </w:rPr>
        <w:t>such</w:t>
      </w:r>
      <w:r>
        <w:rPr>
          <w:spacing w:val="-2"/>
          <w:sz w:val="20"/>
          <w:szCs w:val="20"/>
        </w:rPr>
        <w:t xml:space="preserve"> </w:t>
      </w:r>
      <w:r>
        <w:rPr>
          <w:sz w:val="20"/>
          <w:szCs w:val="20"/>
        </w:rPr>
        <w:t>as</w:t>
      </w:r>
      <w:r>
        <w:rPr>
          <w:spacing w:val="-2"/>
          <w:sz w:val="20"/>
          <w:szCs w:val="20"/>
        </w:rPr>
        <w:t xml:space="preserve"> </w:t>
      </w:r>
      <w:r>
        <w:rPr>
          <w:sz w:val="20"/>
          <w:szCs w:val="20"/>
        </w:rPr>
        <w:t>cash</w:t>
      </w:r>
      <w:r>
        <w:rPr>
          <w:spacing w:val="-2"/>
          <w:sz w:val="20"/>
          <w:szCs w:val="20"/>
        </w:rPr>
        <w:t xml:space="preserve"> </w:t>
      </w:r>
      <w:r>
        <w:rPr>
          <w:sz w:val="20"/>
          <w:szCs w:val="20"/>
        </w:rPr>
        <w:t>and</w:t>
      </w:r>
      <w:r>
        <w:rPr>
          <w:spacing w:val="-2"/>
          <w:sz w:val="20"/>
          <w:szCs w:val="20"/>
        </w:rPr>
        <w:t xml:space="preserve"> </w:t>
      </w:r>
      <w:r>
        <w:rPr>
          <w:sz w:val="20"/>
          <w:szCs w:val="20"/>
        </w:rPr>
        <w:t>a</w:t>
      </w:r>
      <w:r>
        <w:rPr>
          <w:spacing w:val="-2"/>
          <w:sz w:val="20"/>
          <w:szCs w:val="20"/>
        </w:rPr>
        <w:t xml:space="preserve"> </w:t>
      </w:r>
      <w:r>
        <w:rPr>
          <w:sz w:val="20"/>
          <w:szCs w:val="20"/>
        </w:rPr>
        <w:t>range</w:t>
      </w:r>
      <w:r>
        <w:rPr>
          <w:spacing w:val="-2"/>
          <w:sz w:val="20"/>
          <w:szCs w:val="20"/>
        </w:rPr>
        <w:t xml:space="preserve"> </w:t>
      </w:r>
      <w:r>
        <w:rPr>
          <w:sz w:val="20"/>
          <w:szCs w:val="20"/>
        </w:rPr>
        <w:t>of</w:t>
      </w:r>
      <w:r>
        <w:rPr>
          <w:spacing w:val="-3"/>
          <w:sz w:val="20"/>
          <w:szCs w:val="20"/>
        </w:rPr>
        <w:t xml:space="preserve"> </w:t>
      </w:r>
      <w:r>
        <w:rPr>
          <w:sz w:val="20"/>
          <w:szCs w:val="20"/>
        </w:rPr>
        <w:t>instruments</w:t>
      </w:r>
      <w:r>
        <w:rPr>
          <w:spacing w:val="-2"/>
          <w:sz w:val="20"/>
          <w:szCs w:val="20"/>
        </w:rPr>
        <w:t xml:space="preserve"> </w:t>
      </w:r>
      <w:r>
        <w:rPr>
          <w:sz w:val="20"/>
          <w:szCs w:val="20"/>
        </w:rPr>
        <w:t>that</w:t>
      </w:r>
      <w:r>
        <w:rPr>
          <w:spacing w:val="-3"/>
          <w:sz w:val="20"/>
          <w:szCs w:val="20"/>
        </w:rPr>
        <w:t xml:space="preserve"> </w:t>
      </w:r>
      <w:r>
        <w:rPr>
          <w:sz w:val="20"/>
          <w:szCs w:val="20"/>
        </w:rPr>
        <w:t>can</w:t>
      </w:r>
      <w:r>
        <w:rPr>
          <w:spacing w:val="-4"/>
          <w:sz w:val="20"/>
          <w:szCs w:val="20"/>
        </w:rPr>
        <w:t xml:space="preserve"> </w:t>
      </w:r>
      <w:r>
        <w:rPr>
          <w:sz w:val="20"/>
          <w:szCs w:val="20"/>
        </w:rPr>
        <w:t>be</w:t>
      </w:r>
      <w:r>
        <w:rPr>
          <w:spacing w:val="-2"/>
          <w:sz w:val="20"/>
          <w:szCs w:val="20"/>
        </w:rPr>
        <w:t xml:space="preserve"> </w:t>
      </w:r>
      <w:r>
        <w:rPr>
          <w:sz w:val="20"/>
          <w:szCs w:val="20"/>
        </w:rPr>
        <w:t xml:space="preserve">readily converted to cash (including U.S. treasury bills and government bonds, commercial paper, short term Money Market Instruments and certificates of deposit). </w:t>
      </w:r>
    </w:p>
    <w:p w:rsidR="00BB0FBA" w:rsidP="00BB0FBA" w:rsidRDefault="00BB0FBA" w14:paraId="3EAD7FBC" w14:textId="77777777">
      <w:pPr>
        <w:pStyle w:val="BodyText"/>
        <w:ind w:left="567" w:right="523"/>
        <w:jc w:val="both"/>
        <w:rPr>
          <w:sz w:val="20"/>
          <w:szCs w:val="20"/>
        </w:rPr>
      </w:pPr>
    </w:p>
    <w:p w:rsidRPr="00832783" w:rsidR="00BB0FBA" w:rsidP="00BB0FBA" w:rsidRDefault="00B34D16" w14:paraId="210A2697" w14:textId="77777777">
      <w:pPr>
        <w:pStyle w:val="BodyText"/>
        <w:ind w:left="567" w:right="523"/>
        <w:jc w:val="both"/>
        <w:rPr>
          <w:sz w:val="20"/>
          <w:szCs w:val="20"/>
        </w:rPr>
      </w:pPr>
      <w:r>
        <w:rPr>
          <w:sz w:val="20"/>
          <w:szCs w:val="20"/>
        </w:rPr>
        <w:t>As the Fund has a pre-defined Maturity Date, the Fund may invest up to 100% of its Net Asset Value in ancillary</w:t>
      </w:r>
      <w:r>
        <w:rPr>
          <w:spacing w:val="-5"/>
          <w:sz w:val="20"/>
          <w:szCs w:val="20"/>
        </w:rPr>
        <w:t xml:space="preserve"> </w:t>
      </w:r>
      <w:r>
        <w:rPr>
          <w:sz w:val="20"/>
          <w:szCs w:val="20"/>
        </w:rPr>
        <w:t>liquid</w:t>
      </w:r>
      <w:r>
        <w:rPr>
          <w:spacing w:val="-2"/>
          <w:sz w:val="20"/>
          <w:szCs w:val="20"/>
        </w:rPr>
        <w:t xml:space="preserve"> </w:t>
      </w:r>
      <w:r>
        <w:rPr>
          <w:sz w:val="20"/>
          <w:szCs w:val="20"/>
        </w:rPr>
        <w:t>assets (as further described above) towards the end of the Fund's life cycle.</w:t>
      </w:r>
    </w:p>
    <w:p w:rsidRPr="00832783" w:rsidR="00BB0FBA" w:rsidP="00BB0FBA" w:rsidRDefault="00BB0FBA" w14:paraId="1D7739C9" w14:textId="77777777">
      <w:pPr>
        <w:pStyle w:val="BodyText"/>
        <w:rPr>
          <w:sz w:val="20"/>
          <w:szCs w:val="20"/>
        </w:rPr>
      </w:pPr>
    </w:p>
    <w:p w:rsidR="00BB0FBA" w:rsidP="00BB0FBA" w:rsidRDefault="00B34D16" w14:paraId="01F0A013" w14:textId="77777777">
      <w:pPr>
        <w:pStyle w:val="Heading1"/>
        <w:numPr>
          <w:ilvl w:val="1"/>
          <w:numId w:val="12"/>
        </w:numPr>
        <w:tabs>
          <w:tab w:val="left" w:pos="567"/>
        </w:tabs>
        <w:spacing w:before="0"/>
        <w:ind w:left="853" w:hanging="1224"/>
        <w:jc w:val="both"/>
        <w:rPr>
          <w:b w:val="0"/>
          <w:bCs w:val="0"/>
          <w:sz w:val="20"/>
          <w:szCs w:val="20"/>
        </w:rPr>
      </w:pPr>
      <w:bookmarkStart w:name="2.2_Investment_Restrictions" w:id="11"/>
      <w:bookmarkEnd w:id="11"/>
      <w:r>
        <w:rPr>
          <w:b w:val="0"/>
          <w:bCs w:val="0"/>
          <w:sz w:val="20"/>
          <w:szCs w:val="20"/>
        </w:rPr>
        <w:t>Investment Restrictions</w:t>
      </w:r>
    </w:p>
    <w:p w:rsidRPr="004D5104" w:rsidR="00BB0FBA" w:rsidP="00BB0FBA" w:rsidRDefault="00BB0FBA" w14:paraId="0739BA65" w14:textId="77777777">
      <w:pPr>
        <w:pStyle w:val="Heading1"/>
        <w:tabs>
          <w:tab w:val="left" w:pos="567"/>
        </w:tabs>
        <w:spacing w:before="0"/>
        <w:ind w:left="1224" w:firstLine="0"/>
        <w:jc w:val="both"/>
        <w:rPr>
          <w:b w:val="0"/>
          <w:bCs w:val="0"/>
          <w:sz w:val="20"/>
          <w:szCs w:val="20"/>
        </w:rPr>
      </w:pPr>
    </w:p>
    <w:p w:rsidR="00BB0FBA" w:rsidP="00BB0FBA" w:rsidRDefault="00B34D16" w14:paraId="4CB05EBA" w14:textId="77777777">
      <w:pPr>
        <w:pStyle w:val="BodyText"/>
        <w:ind w:left="567" w:right="523"/>
        <w:jc w:val="both"/>
        <w:rPr>
          <w:sz w:val="20"/>
          <w:szCs w:val="20"/>
        </w:rPr>
      </w:pPr>
      <w:r>
        <w:rPr>
          <w:sz w:val="20"/>
          <w:szCs w:val="20"/>
        </w:rPr>
        <w:t>The</w:t>
      </w:r>
      <w:r>
        <w:rPr>
          <w:spacing w:val="-5"/>
          <w:sz w:val="20"/>
          <w:szCs w:val="20"/>
        </w:rPr>
        <w:t xml:space="preserve"> </w:t>
      </w:r>
      <w:r>
        <w:rPr>
          <w:sz w:val="20"/>
          <w:szCs w:val="20"/>
        </w:rPr>
        <w:t>ICAV</w:t>
      </w:r>
      <w:r>
        <w:rPr>
          <w:spacing w:val="-6"/>
          <w:sz w:val="20"/>
          <w:szCs w:val="20"/>
        </w:rPr>
        <w:t xml:space="preserve"> </w:t>
      </w:r>
      <w:r>
        <w:rPr>
          <w:sz w:val="20"/>
          <w:szCs w:val="20"/>
        </w:rPr>
        <w:t>and</w:t>
      </w:r>
      <w:r>
        <w:rPr>
          <w:spacing w:val="-5"/>
          <w:sz w:val="20"/>
          <w:szCs w:val="20"/>
        </w:rPr>
        <w:t xml:space="preserve"> </w:t>
      </w:r>
      <w:r>
        <w:rPr>
          <w:sz w:val="20"/>
          <w:szCs w:val="20"/>
        </w:rPr>
        <w:t>the Fund</w:t>
      </w:r>
      <w:r>
        <w:rPr>
          <w:spacing w:val="-4"/>
          <w:sz w:val="20"/>
          <w:szCs w:val="20"/>
        </w:rPr>
        <w:t xml:space="preserve"> </w:t>
      </w:r>
      <w:r>
        <w:rPr>
          <w:sz w:val="20"/>
          <w:szCs w:val="20"/>
        </w:rPr>
        <w:t>adheres</w:t>
      </w:r>
      <w:r>
        <w:rPr>
          <w:spacing w:val="-7"/>
          <w:sz w:val="20"/>
          <w:szCs w:val="20"/>
        </w:rPr>
        <w:t xml:space="preserve"> </w:t>
      </w:r>
      <w:r>
        <w:rPr>
          <w:sz w:val="20"/>
          <w:szCs w:val="20"/>
        </w:rPr>
        <w:t>to</w:t>
      </w:r>
      <w:r>
        <w:rPr>
          <w:spacing w:val="-4"/>
          <w:sz w:val="20"/>
          <w:szCs w:val="20"/>
        </w:rPr>
        <w:t xml:space="preserve"> </w:t>
      </w:r>
      <w:r>
        <w:rPr>
          <w:sz w:val="20"/>
          <w:szCs w:val="20"/>
        </w:rPr>
        <w:t>the</w:t>
      </w:r>
      <w:r>
        <w:rPr>
          <w:spacing w:val="-4"/>
          <w:sz w:val="20"/>
          <w:szCs w:val="20"/>
        </w:rPr>
        <w:t xml:space="preserve"> </w:t>
      </w:r>
      <w:r>
        <w:rPr>
          <w:sz w:val="20"/>
          <w:szCs w:val="20"/>
        </w:rPr>
        <w:t>restrictions</w:t>
      </w:r>
      <w:r>
        <w:rPr>
          <w:spacing w:val="-7"/>
          <w:sz w:val="20"/>
          <w:szCs w:val="20"/>
        </w:rPr>
        <w:t xml:space="preserve"> </w:t>
      </w:r>
      <w:r>
        <w:rPr>
          <w:sz w:val="20"/>
          <w:szCs w:val="20"/>
        </w:rPr>
        <w:t>and</w:t>
      </w:r>
      <w:r>
        <w:rPr>
          <w:spacing w:val="-4"/>
          <w:sz w:val="20"/>
          <w:szCs w:val="20"/>
        </w:rPr>
        <w:t xml:space="preserve"> </w:t>
      </w:r>
      <w:r>
        <w:rPr>
          <w:sz w:val="20"/>
          <w:szCs w:val="20"/>
        </w:rPr>
        <w:t>requirements</w:t>
      </w:r>
      <w:r>
        <w:rPr>
          <w:spacing w:val="-5"/>
          <w:sz w:val="20"/>
          <w:szCs w:val="20"/>
        </w:rPr>
        <w:t xml:space="preserve"> </w:t>
      </w:r>
      <w:r>
        <w:rPr>
          <w:sz w:val="20"/>
          <w:szCs w:val="20"/>
        </w:rPr>
        <w:t>set</w:t>
      </w:r>
      <w:r>
        <w:rPr>
          <w:spacing w:val="-6"/>
          <w:sz w:val="20"/>
          <w:szCs w:val="20"/>
        </w:rPr>
        <w:t xml:space="preserve"> </w:t>
      </w:r>
      <w:r>
        <w:rPr>
          <w:sz w:val="20"/>
          <w:szCs w:val="20"/>
        </w:rPr>
        <w:t>out</w:t>
      </w:r>
      <w:r>
        <w:rPr>
          <w:spacing w:val="-8"/>
          <w:sz w:val="20"/>
          <w:szCs w:val="20"/>
        </w:rPr>
        <w:t xml:space="preserve"> </w:t>
      </w:r>
      <w:r>
        <w:rPr>
          <w:sz w:val="20"/>
          <w:szCs w:val="20"/>
        </w:rPr>
        <w:t>under</w:t>
      </w:r>
      <w:r>
        <w:rPr>
          <w:spacing w:val="-5"/>
          <w:sz w:val="20"/>
          <w:szCs w:val="20"/>
        </w:rPr>
        <w:t xml:space="preserve"> </w:t>
      </w:r>
      <w:r>
        <w:rPr>
          <w:sz w:val="20"/>
          <w:szCs w:val="20"/>
        </w:rPr>
        <w:t>the</w:t>
      </w:r>
      <w:r>
        <w:rPr>
          <w:spacing w:val="-7"/>
          <w:sz w:val="20"/>
          <w:szCs w:val="20"/>
        </w:rPr>
        <w:t xml:space="preserve"> </w:t>
      </w:r>
      <w:r>
        <w:rPr>
          <w:sz w:val="20"/>
          <w:szCs w:val="20"/>
        </w:rPr>
        <w:t>Regulations,</w:t>
      </w:r>
      <w:r>
        <w:rPr>
          <w:spacing w:val="-6"/>
          <w:sz w:val="20"/>
          <w:szCs w:val="20"/>
        </w:rPr>
        <w:t xml:space="preserve"> </w:t>
      </w:r>
      <w:r>
        <w:rPr>
          <w:sz w:val="20"/>
          <w:szCs w:val="20"/>
        </w:rPr>
        <w:t>as may be amended from time to time. These are set out in Appendix I to the Prospectus.</w:t>
      </w:r>
    </w:p>
    <w:p w:rsidR="00BB0FBA" w:rsidP="00BB0FBA" w:rsidRDefault="00BB0FBA" w14:paraId="252EF295" w14:textId="77777777">
      <w:pPr>
        <w:pStyle w:val="BodyText"/>
        <w:ind w:left="567" w:right="523"/>
        <w:jc w:val="both"/>
        <w:rPr>
          <w:sz w:val="20"/>
          <w:szCs w:val="20"/>
        </w:rPr>
      </w:pPr>
    </w:p>
    <w:p w:rsidR="00BB0FBA" w:rsidP="00BB0FBA" w:rsidRDefault="00B34D16" w14:paraId="151D13B3" w14:textId="64BED08E">
      <w:pPr>
        <w:pStyle w:val="BodyText"/>
        <w:ind w:left="567" w:right="523"/>
        <w:jc w:val="both"/>
        <w:rPr>
          <w:sz w:val="20"/>
          <w:szCs w:val="20"/>
        </w:rPr>
      </w:pPr>
      <w:r>
        <w:rPr>
          <w:sz w:val="20"/>
          <w:szCs w:val="20"/>
        </w:rPr>
        <w:t>No more than 20% of the Fund’s Net Asset Value may be invested in any one Underlying Fund.</w:t>
      </w:r>
    </w:p>
    <w:p w:rsidRPr="00832783" w:rsidR="00BB0FBA" w:rsidP="00BB0FBA" w:rsidRDefault="00BB0FBA" w14:paraId="17897E24" w14:textId="77777777">
      <w:pPr>
        <w:pStyle w:val="BodyText"/>
        <w:spacing w:before="9"/>
        <w:rPr>
          <w:sz w:val="20"/>
          <w:szCs w:val="20"/>
        </w:rPr>
      </w:pPr>
      <w:bookmarkStart w:name="2.3_Use_of_Derivatives,_Efficient_Portfo" w:id="12"/>
      <w:bookmarkEnd w:id="12"/>
    </w:p>
    <w:p w:rsidR="00F21CEA" w:rsidP="00B42322" w:rsidRDefault="00B34D16" w14:paraId="17DF0539" w14:textId="77777777">
      <w:pPr>
        <w:pStyle w:val="Heading1"/>
        <w:numPr>
          <w:ilvl w:val="1"/>
          <w:numId w:val="12"/>
        </w:numPr>
        <w:tabs>
          <w:tab w:val="left" w:pos="567"/>
        </w:tabs>
        <w:spacing w:before="0"/>
        <w:ind w:left="853" w:hanging="1224"/>
        <w:jc w:val="both"/>
        <w:rPr>
          <w:b w:val="0"/>
          <w:bCs w:val="0"/>
          <w:sz w:val="20"/>
          <w:szCs w:val="20"/>
        </w:rPr>
      </w:pPr>
      <w:bookmarkStart w:name="2.4_Borrowing" w:id="13"/>
      <w:bookmarkEnd w:id="13"/>
      <w:r>
        <w:rPr>
          <w:b w:val="0"/>
          <w:bCs w:val="0"/>
          <w:sz w:val="20"/>
          <w:szCs w:val="20"/>
        </w:rPr>
        <w:t>Integration of Sustainability Risks</w:t>
      </w:r>
    </w:p>
    <w:p w:rsidR="00F21CEA" w:rsidP="00F21CEA" w:rsidRDefault="00F21CEA" w14:paraId="10BB1BE9" w14:textId="77777777">
      <w:pPr>
        <w:pStyle w:val="Heading1"/>
        <w:tabs>
          <w:tab w:val="left" w:pos="567"/>
        </w:tabs>
        <w:spacing w:before="0"/>
        <w:ind w:left="-371" w:firstLine="0"/>
        <w:jc w:val="both"/>
        <w:rPr>
          <w:b w:val="0"/>
          <w:bCs w:val="0"/>
          <w:sz w:val="20"/>
          <w:szCs w:val="20"/>
        </w:rPr>
      </w:pPr>
    </w:p>
    <w:p w:rsidRPr="00D0048D" w:rsidR="00F21CEA" w:rsidP="00A101CD" w:rsidRDefault="00B34D16" w14:paraId="3F7133E3" w14:textId="18CD6166">
      <w:pPr>
        <w:pStyle w:val="BodyText"/>
        <w:ind w:left="567" w:right="523"/>
        <w:jc w:val="both"/>
        <w:rPr>
          <w:sz w:val="20"/>
          <w:szCs w:val="20"/>
        </w:rPr>
      </w:pPr>
      <w:r>
        <w:rPr>
          <w:sz w:val="20"/>
          <w:szCs w:val="20"/>
        </w:rPr>
        <w:t>The Fund is classified under Article 6 of SFDR. The Underlying Funds in which the Fund invests are also expected to be classified under Article 6 of SFDR and, as such, neither the Fund nor the Underlying Funds promote environmental or social characteristics in a way that meets the specific criteria contained in Article 8 of SFDR or have sustainable investment as their objective as per the requirements of Article 9 of SFDR.</w:t>
      </w:r>
    </w:p>
    <w:p w:rsidRPr="00D0048D" w:rsidR="00F21CEA" w:rsidP="00D0048D" w:rsidRDefault="00F21CEA" w14:paraId="2645B283" w14:textId="77777777">
      <w:pPr>
        <w:pStyle w:val="BodyText"/>
        <w:ind w:left="567" w:right="523"/>
        <w:jc w:val="both"/>
        <w:rPr>
          <w:sz w:val="20"/>
          <w:szCs w:val="20"/>
        </w:rPr>
      </w:pPr>
    </w:p>
    <w:p w:rsidR="004E5A37" w:rsidP="004E5A37" w:rsidRDefault="00B34D16" w14:paraId="3FAF0D5E" w14:textId="305BD5B4">
      <w:pPr>
        <w:pStyle w:val="BodyText"/>
        <w:ind w:left="567" w:right="523"/>
        <w:jc w:val="both"/>
        <w:rPr>
          <w:sz w:val="20"/>
          <w:szCs w:val="20"/>
        </w:rPr>
      </w:pPr>
      <w:r>
        <w:rPr>
          <w:sz w:val="20"/>
          <w:szCs w:val="20"/>
        </w:rPr>
        <w:t xml:space="preserve">Notwithstanding this, and consistent with </w:t>
      </w:r>
      <w:r w:rsidR="004E5A37">
        <w:rPr>
          <w:sz w:val="20"/>
          <w:szCs w:val="20"/>
        </w:rPr>
        <w:t>the</w:t>
      </w:r>
      <w:r>
        <w:rPr>
          <w:sz w:val="20"/>
          <w:szCs w:val="20"/>
        </w:rPr>
        <w:t xml:space="preserve"> requirements under the UCITS Regulations, the Investment Manager</w:t>
      </w:r>
      <w:r w:rsidR="004E5A37">
        <w:rPr>
          <w:sz w:val="20"/>
          <w:szCs w:val="20"/>
        </w:rPr>
        <w:t xml:space="preserve"> and the Underlying Funds</w:t>
      </w:r>
      <w:r>
        <w:rPr>
          <w:sz w:val="20"/>
          <w:szCs w:val="20"/>
        </w:rPr>
        <w:t xml:space="preserve"> </w:t>
      </w:r>
      <w:r w:rsidR="004E5A37">
        <w:rPr>
          <w:sz w:val="20"/>
          <w:szCs w:val="20"/>
        </w:rPr>
        <w:t>are</w:t>
      </w:r>
      <w:r>
        <w:rPr>
          <w:sz w:val="20"/>
          <w:szCs w:val="20"/>
        </w:rPr>
        <w:t xml:space="preserve"> required to take Sustainability Risks into account in the process of selection and ongoing monitoring of investments</w:t>
      </w:r>
      <w:r w:rsidR="004E5A37">
        <w:rPr>
          <w:sz w:val="20"/>
          <w:szCs w:val="20"/>
        </w:rPr>
        <w:t xml:space="preserve">. In managing the Fund, the Investment Manager will rely on the integration of Sustainability </w:t>
      </w:r>
      <w:r w:rsidR="004E5A37">
        <w:rPr>
          <w:sz w:val="20"/>
          <w:szCs w:val="20"/>
        </w:rPr>
        <w:lastRenderedPageBreak/>
        <w:t xml:space="preserve">Risks by the Underlying Funds in its evaluation and integration of Sustainability Risks of the Fund. </w:t>
      </w:r>
    </w:p>
    <w:p w:rsidR="004E5A37" w:rsidP="004E5A37" w:rsidRDefault="004E5A37" w14:paraId="215B35D3" w14:textId="77777777">
      <w:pPr>
        <w:pStyle w:val="BodyText"/>
        <w:ind w:right="523"/>
        <w:jc w:val="both"/>
        <w:rPr>
          <w:sz w:val="20"/>
          <w:szCs w:val="20"/>
        </w:rPr>
      </w:pPr>
    </w:p>
    <w:p w:rsidR="00A101CD" w:rsidP="004E5A37" w:rsidRDefault="00B34D16" w14:paraId="75334643" w14:textId="5FC4F0EA">
      <w:pPr>
        <w:pStyle w:val="BodyText"/>
        <w:ind w:left="567" w:right="523"/>
        <w:jc w:val="both"/>
        <w:rPr>
          <w:sz w:val="20"/>
          <w:szCs w:val="20"/>
        </w:rPr>
      </w:pPr>
      <w:r>
        <w:rPr>
          <w:sz w:val="20"/>
          <w:szCs w:val="20"/>
        </w:rPr>
        <w:t xml:space="preserve">However, as the Fund invests in Underlying Funds which themselves integrate sustainability risks into their investment decision-making process, Sustainability Risk considerations may not be a primary consideration for an investment decision and the Investment Manager does not expect that the assessment of likely impacts of Sustainability Risks will materially impact the expected risk or return characteristics of the Fund. </w:t>
      </w:r>
    </w:p>
    <w:p w:rsidR="00EC1CCE" w:rsidP="00EC1CCE" w:rsidRDefault="00EC1CCE" w14:paraId="5675C50F" w14:textId="77777777">
      <w:pPr>
        <w:pStyle w:val="BodyText"/>
        <w:ind w:left="567" w:right="523"/>
        <w:jc w:val="both"/>
        <w:rPr>
          <w:sz w:val="20"/>
          <w:szCs w:val="20"/>
        </w:rPr>
      </w:pPr>
    </w:p>
    <w:p w:rsidRPr="00D0048D" w:rsidR="00EC1CCE" w:rsidP="00EC1CCE" w:rsidRDefault="00B34D16" w14:paraId="7F661134" w14:textId="7A63E3F0">
      <w:pPr>
        <w:pStyle w:val="BodyText"/>
        <w:ind w:left="567" w:right="523"/>
        <w:jc w:val="both"/>
        <w:rPr>
          <w:sz w:val="20"/>
          <w:szCs w:val="20"/>
        </w:rPr>
      </w:pPr>
      <w:r>
        <w:rPr>
          <w:sz w:val="20"/>
          <w:szCs w:val="20"/>
        </w:rPr>
        <w:t xml:space="preserve">The Investment Manager does not consider the principal adverse impacts of investment decision as part of the investment decision-making process. </w:t>
      </w:r>
    </w:p>
    <w:p w:rsidRPr="00F21CEA" w:rsidR="00F21CEA" w:rsidP="00F21CEA" w:rsidRDefault="00F21CEA" w14:paraId="308422D2" w14:textId="77777777">
      <w:pPr>
        <w:pStyle w:val="Heading1"/>
        <w:tabs>
          <w:tab w:val="left" w:pos="567"/>
        </w:tabs>
        <w:spacing w:before="0"/>
        <w:ind w:left="853" w:firstLine="0"/>
        <w:jc w:val="both"/>
        <w:rPr>
          <w:sz w:val="20"/>
          <w:szCs w:val="20"/>
        </w:rPr>
      </w:pPr>
    </w:p>
    <w:p w:rsidRPr="004D5104" w:rsidR="00BB0FBA" w:rsidP="00B42322" w:rsidRDefault="00B34D16" w14:paraId="10B8E2D4" w14:textId="03A72CE0">
      <w:pPr>
        <w:pStyle w:val="Heading1"/>
        <w:numPr>
          <w:ilvl w:val="1"/>
          <w:numId w:val="12"/>
        </w:numPr>
        <w:tabs>
          <w:tab w:val="left" w:pos="567"/>
        </w:tabs>
        <w:spacing w:before="0"/>
        <w:ind w:left="853" w:hanging="1224"/>
        <w:jc w:val="both"/>
        <w:rPr>
          <w:sz w:val="20"/>
          <w:szCs w:val="20"/>
        </w:rPr>
      </w:pPr>
      <w:r>
        <w:rPr>
          <w:b w:val="0"/>
          <w:bCs w:val="0"/>
          <w:sz w:val="20"/>
          <w:szCs w:val="20"/>
        </w:rPr>
        <w:t>Borrowing</w:t>
      </w:r>
    </w:p>
    <w:p w:rsidRPr="00832783" w:rsidR="00BB0FBA" w:rsidP="00BB0FBA" w:rsidRDefault="00BB0FBA" w14:paraId="1FE297E3" w14:textId="77777777">
      <w:pPr>
        <w:pStyle w:val="Heading1"/>
        <w:tabs>
          <w:tab w:val="left" w:pos="567"/>
        </w:tabs>
        <w:spacing w:before="0"/>
        <w:ind w:left="1224" w:firstLine="0"/>
        <w:jc w:val="both"/>
        <w:rPr>
          <w:sz w:val="20"/>
          <w:szCs w:val="20"/>
        </w:rPr>
      </w:pPr>
    </w:p>
    <w:p w:rsidRPr="00832783" w:rsidR="00BB0FBA" w:rsidP="00BB0FBA" w:rsidRDefault="00B34D16" w14:paraId="52E9B422" w14:textId="77777777">
      <w:pPr>
        <w:pStyle w:val="BodyText"/>
        <w:ind w:left="567" w:right="523"/>
        <w:jc w:val="both"/>
        <w:rPr>
          <w:sz w:val="20"/>
          <w:szCs w:val="20"/>
        </w:rPr>
      </w:pPr>
      <w:r>
        <w:rPr>
          <w:sz w:val="20"/>
          <w:szCs w:val="20"/>
        </w:rPr>
        <w:t>In accordance with the general provisions set out in the Prospectus under the heading “Borrowing Powers",</w:t>
      </w:r>
      <w:r>
        <w:rPr>
          <w:spacing w:val="-5"/>
          <w:sz w:val="20"/>
          <w:szCs w:val="20"/>
        </w:rPr>
        <w:t xml:space="preserve"> </w:t>
      </w:r>
      <w:r>
        <w:rPr>
          <w:sz w:val="20"/>
          <w:szCs w:val="20"/>
        </w:rPr>
        <w:t>the</w:t>
      </w:r>
      <w:r>
        <w:rPr>
          <w:spacing w:val="-4"/>
          <w:sz w:val="20"/>
          <w:szCs w:val="20"/>
        </w:rPr>
        <w:t xml:space="preserve"> </w:t>
      </w:r>
      <w:r>
        <w:rPr>
          <w:sz w:val="20"/>
          <w:szCs w:val="20"/>
        </w:rPr>
        <w:t>ICAV</w:t>
      </w:r>
      <w:r>
        <w:rPr>
          <w:spacing w:val="-3"/>
          <w:sz w:val="20"/>
          <w:szCs w:val="20"/>
        </w:rPr>
        <w:t xml:space="preserve"> </w:t>
      </w:r>
      <w:r>
        <w:rPr>
          <w:sz w:val="20"/>
          <w:szCs w:val="20"/>
        </w:rPr>
        <w:t>on</w:t>
      </w:r>
      <w:r>
        <w:rPr>
          <w:spacing w:val="-3"/>
          <w:sz w:val="20"/>
          <w:szCs w:val="20"/>
        </w:rPr>
        <w:t xml:space="preserve"> </w:t>
      </w:r>
      <w:r>
        <w:rPr>
          <w:sz w:val="20"/>
          <w:szCs w:val="20"/>
        </w:rPr>
        <w:t>behalf</w:t>
      </w:r>
      <w:r>
        <w:rPr>
          <w:spacing w:val="-2"/>
          <w:sz w:val="20"/>
          <w:szCs w:val="20"/>
        </w:rPr>
        <w:t xml:space="preserve"> </w:t>
      </w:r>
      <w:r>
        <w:rPr>
          <w:sz w:val="20"/>
          <w:szCs w:val="20"/>
        </w:rPr>
        <w:t>of</w:t>
      </w:r>
      <w:r>
        <w:rPr>
          <w:spacing w:val="-2"/>
          <w:sz w:val="20"/>
          <w:szCs w:val="20"/>
        </w:rPr>
        <w:t xml:space="preserve"> </w:t>
      </w:r>
      <w:r>
        <w:rPr>
          <w:sz w:val="20"/>
          <w:szCs w:val="20"/>
        </w:rPr>
        <w:t>the Fund</w:t>
      </w:r>
      <w:r>
        <w:rPr>
          <w:spacing w:val="-4"/>
          <w:sz w:val="20"/>
          <w:szCs w:val="20"/>
        </w:rPr>
        <w:t xml:space="preserve"> </w:t>
      </w:r>
      <w:r>
        <w:rPr>
          <w:sz w:val="20"/>
          <w:szCs w:val="20"/>
        </w:rPr>
        <w:t>may</w:t>
      </w:r>
      <w:r>
        <w:rPr>
          <w:spacing w:val="-6"/>
          <w:sz w:val="20"/>
          <w:szCs w:val="20"/>
        </w:rPr>
        <w:t xml:space="preserve"> </w:t>
      </w:r>
      <w:r>
        <w:rPr>
          <w:sz w:val="20"/>
          <w:szCs w:val="20"/>
        </w:rPr>
        <w:t>borrow</w:t>
      </w:r>
      <w:r>
        <w:rPr>
          <w:spacing w:val="-5"/>
          <w:sz w:val="20"/>
          <w:szCs w:val="20"/>
        </w:rPr>
        <w:t xml:space="preserve"> </w:t>
      </w:r>
      <w:r>
        <w:rPr>
          <w:sz w:val="20"/>
          <w:szCs w:val="20"/>
        </w:rPr>
        <w:t>up</w:t>
      </w:r>
      <w:r>
        <w:rPr>
          <w:spacing w:val="-3"/>
          <w:sz w:val="20"/>
          <w:szCs w:val="20"/>
        </w:rPr>
        <w:t xml:space="preserve"> </w:t>
      </w:r>
      <w:r>
        <w:rPr>
          <w:sz w:val="20"/>
          <w:szCs w:val="20"/>
        </w:rPr>
        <w:t>to</w:t>
      </w:r>
      <w:r>
        <w:rPr>
          <w:spacing w:val="-3"/>
          <w:sz w:val="20"/>
          <w:szCs w:val="20"/>
        </w:rPr>
        <w:t xml:space="preserve"> </w:t>
      </w:r>
      <w:r>
        <w:rPr>
          <w:sz w:val="20"/>
          <w:szCs w:val="20"/>
        </w:rPr>
        <w:t>10%</w:t>
      </w:r>
      <w:r>
        <w:rPr>
          <w:spacing w:val="-4"/>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Net</w:t>
      </w:r>
      <w:r>
        <w:rPr>
          <w:spacing w:val="-5"/>
          <w:sz w:val="20"/>
          <w:szCs w:val="20"/>
        </w:rPr>
        <w:t xml:space="preserve"> </w:t>
      </w:r>
      <w:r>
        <w:rPr>
          <w:sz w:val="20"/>
          <w:szCs w:val="20"/>
        </w:rPr>
        <w:t>Asset</w:t>
      </w:r>
      <w:r>
        <w:rPr>
          <w:spacing w:val="-5"/>
          <w:sz w:val="20"/>
          <w:szCs w:val="20"/>
        </w:rPr>
        <w:t xml:space="preserve"> </w:t>
      </w:r>
      <w:r>
        <w:rPr>
          <w:sz w:val="20"/>
          <w:szCs w:val="20"/>
        </w:rPr>
        <w:t>Value</w:t>
      </w:r>
      <w:r>
        <w:rPr>
          <w:spacing w:val="-3"/>
          <w:sz w:val="20"/>
          <w:szCs w:val="20"/>
        </w:rPr>
        <w:t xml:space="preserve"> </w:t>
      </w:r>
      <w:r>
        <w:rPr>
          <w:sz w:val="20"/>
          <w:szCs w:val="20"/>
        </w:rPr>
        <w:t>of</w:t>
      </w:r>
      <w:r>
        <w:rPr>
          <w:spacing w:val="-2"/>
          <w:sz w:val="20"/>
          <w:szCs w:val="20"/>
        </w:rPr>
        <w:t xml:space="preserve"> </w:t>
      </w:r>
      <w:r>
        <w:rPr>
          <w:sz w:val="20"/>
          <w:szCs w:val="20"/>
        </w:rPr>
        <w:t>the Fund</w:t>
      </w:r>
      <w:r>
        <w:rPr>
          <w:spacing w:val="-4"/>
          <w:sz w:val="20"/>
          <w:szCs w:val="20"/>
        </w:rPr>
        <w:t xml:space="preserve"> </w:t>
      </w:r>
      <w:r>
        <w:rPr>
          <w:sz w:val="20"/>
          <w:szCs w:val="20"/>
        </w:rPr>
        <w:t>on a temporary basis. Such borrowings may only be used for short term liquidity purposes to cover the redemption of Shares.</w:t>
      </w:r>
    </w:p>
    <w:p w:rsidRPr="00832783" w:rsidR="00BB0FBA" w:rsidP="00BB0FBA" w:rsidRDefault="00BB0FBA" w14:paraId="6AB05FEE" w14:textId="77777777">
      <w:pPr>
        <w:pStyle w:val="BodyText"/>
        <w:spacing w:before="2"/>
        <w:rPr>
          <w:sz w:val="20"/>
          <w:szCs w:val="20"/>
        </w:rPr>
      </w:pPr>
      <w:bookmarkStart w:name="2.5_Leverage_and_Risk_Management" w:id="14"/>
      <w:bookmarkEnd w:id="14"/>
    </w:p>
    <w:p w:rsidR="00BB0FBA" w:rsidP="00B42322" w:rsidRDefault="00B34D16" w14:paraId="0B5D16AA" w14:textId="77777777">
      <w:pPr>
        <w:pStyle w:val="Heading1"/>
        <w:numPr>
          <w:ilvl w:val="1"/>
          <w:numId w:val="12"/>
        </w:numPr>
        <w:tabs>
          <w:tab w:val="left" w:pos="567"/>
        </w:tabs>
        <w:spacing w:before="0"/>
        <w:ind w:left="853" w:hanging="1224"/>
        <w:jc w:val="both"/>
        <w:rPr>
          <w:b w:val="0"/>
          <w:bCs w:val="0"/>
          <w:sz w:val="20"/>
          <w:szCs w:val="20"/>
        </w:rPr>
      </w:pPr>
      <w:bookmarkStart w:name="2.7_Key_Information_for_Buying_and_Selli" w:id="15"/>
      <w:bookmarkEnd w:id="15"/>
      <w:r>
        <w:rPr>
          <w:b w:val="0"/>
          <w:bCs w:val="0"/>
          <w:sz w:val="20"/>
          <w:szCs w:val="20"/>
        </w:rPr>
        <w:t>Key Information for Buying and Selling Shares</w:t>
      </w:r>
    </w:p>
    <w:p w:rsidRPr="004D5104" w:rsidR="00BB0FBA" w:rsidP="00BB0FBA" w:rsidRDefault="00BB0FBA" w14:paraId="0D3B2C23" w14:textId="77777777">
      <w:pPr>
        <w:pStyle w:val="Heading1"/>
        <w:tabs>
          <w:tab w:val="left" w:pos="567"/>
        </w:tabs>
        <w:spacing w:before="0"/>
        <w:ind w:left="1224" w:firstLine="0"/>
        <w:jc w:val="both"/>
        <w:rPr>
          <w:b w:val="0"/>
          <w:bCs w:val="0"/>
          <w:sz w:val="20"/>
          <w:szCs w:val="20"/>
        </w:rPr>
      </w:pPr>
    </w:p>
    <w:p w:rsidR="00BB0FBA" w:rsidP="00BB0FBA" w:rsidRDefault="00B34D16" w14:paraId="3218ECEB" w14:textId="77777777">
      <w:pPr>
        <w:pStyle w:val="BodyText"/>
        <w:ind w:left="567" w:right="523"/>
        <w:jc w:val="both"/>
        <w:rPr>
          <w:sz w:val="20"/>
          <w:szCs w:val="20"/>
        </w:rPr>
      </w:pPr>
      <w:r>
        <w:rPr>
          <w:sz w:val="20"/>
          <w:szCs w:val="20"/>
        </w:rPr>
        <w:t>Shares may be subscribed for during the Initial Offer Period at the Initial Offer Price.</w:t>
      </w:r>
    </w:p>
    <w:p w:rsidRPr="00832783" w:rsidR="00BB0FBA" w:rsidP="00BB0FBA" w:rsidRDefault="00BB0FBA" w14:paraId="0145C1AD" w14:textId="77777777">
      <w:pPr>
        <w:pStyle w:val="BodyText"/>
        <w:ind w:left="567" w:right="523"/>
        <w:jc w:val="both"/>
        <w:rPr>
          <w:sz w:val="20"/>
          <w:szCs w:val="20"/>
        </w:rPr>
      </w:pPr>
    </w:p>
    <w:p w:rsidR="00BB0FBA" w:rsidP="00BB0FBA" w:rsidRDefault="00B34D16" w14:paraId="6C23B634" w14:textId="77777777">
      <w:pPr>
        <w:pStyle w:val="BodyText"/>
        <w:ind w:left="567" w:right="523"/>
        <w:jc w:val="both"/>
        <w:rPr>
          <w:sz w:val="20"/>
          <w:szCs w:val="20"/>
        </w:rPr>
      </w:pPr>
      <w:r>
        <w:rPr>
          <w:sz w:val="20"/>
          <w:szCs w:val="20"/>
        </w:rPr>
        <w:t>Shares may be subscribed for and redeemed on each Dealing Day by making an application before the Dealing Deadline. Such Shares will be issued or redeemed at the Net Asset Value per Share plus (in the case of subscriptions) or less (in the case of redemptions) an amount in respect of Duties and Charges, where applicable, on each Dealing Day, as disclosed below.</w:t>
      </w:r>
    </w:p>
    <w:p w:rsidRPr="00832783" w:rsidR="00BB0FBA" w:rsidP="00BB0FBA" w:rsidRDefault="00BB0FBA" w14:paraId="3111D71D" w14:textId="77777777">
      <w:pPr>
        <w:pStyle w:val="BodyText"/>
        <w:ind w:right="523"/>
        <w:jc w:val="both"/>
        <w:rPr>
          <w:sz w:val="20"/>
          <w:szCs w:val="20"/>
        </w:rPr>
      </w:pPr>
    </w:p>
    <w:p w:rsidR="00BB0FBA" w:rsidP="00BB0FBA" w:rsidRDefault="00B34D16" w14:paraId="14763A0C" w14:textId="77777777">
      <w:pPr>
        <w:pStyle w:val="BodyText"/>
        <w:ind w:left="567" w:right="523"/>
        <w:jc w:val="both"/>
        <w:rPr>
          <w:sz w:val="20"/>
          <w:szCs w:val="20"/>
        </w:rPr>
      </w:pPr>
      <w:r>
        <w:rPr>
          <w:sz w:val="20"/>
          <w:szCs w:val="20"/>
        </w:rPr>
        <w:t xml:space="preserve">Settlement Date (for subscriptions): in the case of applications, proceeds must be received from the </w:t>
      </w:r>
      <w:proofErr w:type="spellStart"/>
      <w:r>
        <w:rPr>
          <w:sz w:val="20"/>
          <w:szCs w:val="20"/>
        </w:rPr>
        <w:t>Authorised</w:t>
      </w:r>
      <w:proofErr w:type="spellEnd"/>
      <w:r>
        <w:rPr>
          <w:sz w:val="20"/>
          <w:szCs w:val="20"/>
        </w:rPr>
        <w:t xml:space="preserve"> Participant no later than one Business Day after the relevant Dealing Day or as otherwise determined by the Manager. If payment in full and/or a properly completed Application Form have not been received from the </w:t>
      </w:r>
      <w:proofErr w:type="spellStart"/>
      <w:r>
        <w:rPr>
          <w:sz w:val="20"/>
          <w:szCs w:val="20"/>
        </w:rPr>
        <w:t>Authorised</w:t>
      </w:r>
      <w:proofErr w:type="spellEnd"/>
      <w:r>
        <w:rPr>
          <w:sz w:val="20"/>
          <w:szCs w:val="20"/>
        </w:rPr>
        <w:t xml:space="preserve"> Participant by the Dealing Deadline, the application may be refused.</w:t>
      </w:r>
    </w:p>
    <w:p w:rsidRPr="00832783" w:rsidR="00BB0FBA" w:rsidP="00BB0FBA" w:rsidRDefault="00BB0FBA" w14:paraId="169D8EEA" w14:textId="77777777">
      <w:pPr>
        <w:pStyle w:val="BodyText"/>
        <w:ind w:left="567" w:right="523"/>
        <w:jc w:val="both"/>
        <w:rPr>
          <w:sz w:val="20"/>
          <w:szCs w:val="20"/>
        </w:rPr>
      </w:pPr>
    </w:p>
    <w:p w:rsidRPr="00832783" w:rsidR="00BB0FBA" w:rsidP="00BB0FBA" w:rsidRDefault="00B34D16" w14:paraId="35807575" w14:textId="77777777">
      <w:pPr>
        <w:pStyle w:val="BodyText"/>
        <w:ind w:left="567" w:right="523"/>
        <w:jc w:val="both"/>
        <w:rPr>
          <w:sz w:val="20"/>
          <w:szCs w:val="20"/>
        </w:rPr>
      </w:pPr>
      <w:r>
        <w:rPr>
          <w:sz w:val="20"/>
          <w:szCs w:val="20"/>
        </w:rPr>
        <w:t xml:space="preserve">Settlement Date (for redemptions): in the case of redemptions, proceeds must be remitted to </w:t>
      </w:r>
      <w:proofErr w:type="spellStart"/>
      <w:r>
        <w:rPr>
          <w:sz w:val="20"/>
          <w:szCs w:val="20"/>
        </w:rPr>
        <w:t>Authorised</w:t>
      </w:r>
      <w:proofErr w:type="spellEnd"/>
      <w:r>
        <w:rPr>
          <w:sz w:val="20"/>
          <w:szCs w:val="20"/>
        </w:rPr>
        <w:t xml:space="preserve"> Participants no later than two Business Days after the relevant Dealing Day (assuming the receipt of the relevant duly signed redemption documentation) or as otherwise determined by the Manager provided that in all cases proceeds are paid within ten Business Days, provided that all the required documentation has been furnished to and received by the Administrator.</w:t>
      </w:r>
    </w:p>
    <w:p w:rsidRPr="00832783" w:rsidR="00BB0FBA" w:rsidP="00BB0FBA" w:rsidRDefault="00BB0FBA" w14:paraId="1C26EA2A" w14:textId="77777777">
      <w:pPr>
        <w:pStyle w:val="BodyText"/>
        <w:rPr>
          <w:sz w:val="20"/>
          <w:szCs w:val="20"/>
        </w:rPr>
      </w:pPr>
    </w:p>
    <w:p w:rsidRPr="00832783" w:rsidR="00BB0FBA" w:rsidP="00B42322" w:rsidRDefault="00B34D16" w14:paraId="1BF20CE0" w14:textId="77777777">
      <w:pPr>
        <w:pStyle w:val="Heading1"/>
        <w:numPr>
          <w:ilvl w:val="1"/>
          <w:numId w:val="12"/>
        </w:numPr>
        <w:tabs>
          <w:tab w:val="left" w:pos="567"/>
        </w:tabs>
        <w:spacing w:before="0"/>
        <w:ind w:left="853" w:hanging="1224"/>
        <w:jc w:val="both"/>
        <w:rPr>
          <w:sz w:val="20"/>
          <w:szCs w:val="20"/>
        </w:rPr>
      </w:pPr>
      <w:bookmarkStart w:name="2.8_Listing" w:id="16"/>
      <w:bookmarkEnd w:id="16"/>
      <w:r>
        <w:rPr>
          <w:b w:val="0"/>
          <w:bCs w:val="0"/>
          <w:sz w:val="20"/>
          <w:szCs w:val="20"/>
        </w:rPr>
        <w:t>Listing</w:t>
      </w:r>
    </w:p>
    <w:p w:rsidRPr="00832783" w:rsidR="00BB0FBA" w:rsidP="00BB0FBA" w:rsidRDefault="00BB0FBA" w14:paraId="2FE4A905" w14:textId="77777777">
      <w:pPr>
        <w:pStyle w:val="BodyText"/>
        <w:spacing w:before="9"/>
        <w:rPr>
          <w:sz w:val="20"/>
          <w:szCs w:val="20"/>
        </w:rPr>
      </w:pPr>
    </w:p>
    <w:p w:rsidRPr="00832783" w:rsidR="00BB0FBA" w:rsidP="00BB0FBA" w:rsidRDefault="00B34D16" w14:paraId="7234EEC5" w14:textId="77777777">
      <w:pPr>
        <w:pStyle w:val="BodyText"/>
        <w:ind w:left="567" w:right="523"/>
        <w:jc w:val="both"/>
        <w:rPr>
          <w:sz w:val="20"/>
          <w:szCs w:val="20"/>
        </w:rPr>
      </w:pPr>
      <w:bookmarkStart w:name="Application_will_be_made_to_such_exchang" w:id="17"/>
      <w:bookmarkEnd w:id="17"/>
      <w:r>
        <w:rPr>
          <w:sz w:val="20"/>
          <w:szCs w:val="20"/>
        </w:rPr>
        <w:t>Application will be made to such exchanges as the Directors may determine from time to time (the "</w:t>
      </w:r>
      <w:r>
        <w:rPr>
          <w:b/>
          <w:bCs/>
          <w:sz w:val="20"/>
          <w:szCs w:val="20"/>
        </w:rPr>
        <w:t>Relevant Stock Exchanges</w:t>
      </w:r>
      <w:r>
        <w:rPr>
          <w:sz w:val="20"/>
          <w:szCs w:val="20"/>
        </w:rPr>
        <w:t>") for the listing of the Shares issued and available to be issued and to be admitted to listing on the official list and trading on each of the Relevant Stock Exchanges.</w:t>
      </w:r>
      <w:r>
        <w:rPr>
          <w:spacing w:val="40"/>
          <w:sz w:val="20"/>
          <w:szCs w:val="20"/>
        </w:rPr>
        <w:t xml:space="preserve"> </w:t>
      </w:r>
      <w:r>
        <w:rPr>
          <w:sz w:val="20"/>
          <w:szCs w:val="20"/>
        </w:rPr>
        <w:t>This Supplement and the Prospectus together comprise listing particulars for the purposes of listing the Shares on the official list and trading on the main market of each of the Relevant Stock Exchanges.</w:t>
      </w:r>
    </w:p>
    <w:p w:rsidRPr="00832783" w:rsidR="00BB0FBA" w:rsidP="00BB0FBA" w:rsidRDefault="00BB0FBA" w14:paraId="73B8E01E" w14:textId="77777777">
      <w:pPr>
        <w:pStyle w:val="BodyText"/>
        <w:spacing w:before="1"/>
        <w:rPr>
          <w:sz w:val="20"/>
          <w:szCs w:val="20"/>
        </w:rPr>
      </w:pPr>
    </w:p>
    <w:p w:rsidRPr="004D5104" w:rsidR="00BB0FBA" w:rsidP="00B42322" w:rsidRDefault="00B34D16" w14:paraId="167AD61D" w14:textId="77777777">
      <w:pPr>
        <w:pStyle w:val="Heading1"/>
        <w:numPr>
          <w:ilvl w:val="1"/>
          <w:numId w:val="12"/>
        </w:numPr>
        <w:tabs>
          <w:tab w:val="left" w:pos="567"/>
        </w:tabs>
        <w:spacing w:before="0"/>
        <w:ind w:left="853" w:hanging="1224"/>
        <w:jc w:val="both"/>
        <w:rPr>
          <w:b w:val="0"/>
          <w:bCs w:val="0"/>
          <w:sz w:val="20"/>
          <w:szCs w:val="20"/>
        </w:rPr>
      </w:pPr>
      <w:bookmarkStart w:name="2.9_Exchange_Traded_Fund" w:id="18"/>
      <w:bookmarkEnd w:id="18"/>
      <w:r>
        <w:rPr>
          <w:b w:val="0"/>
          <w:bCs w:val="0"/>
          <w:sz w:val="20"/>
          <w:szCs w:val="20"/>
        </w:rPr>
        <w:t>Exchange</w:t>
      </w:r>
      <w:r>
        <w:rPr>
          <w:b w:val="0"/>
          <w:bCs w:val="0"/>
          <w:spacing w:val="-8"/>
          <w:sz w:val="20"/>
          <w:szCs w:val="20"/>
        </w:rPr>
        <w:t xml:space="preserve"> </w:t>
      </w:r>
      <w:r>
        <w:rPr>
          <w:b w:val="0"/>
          <w:bCs w:val="0"/>
          <w:sz w:val="20"/>
          <w:szCs w:val="20"/>
        </w:rPr>
        <w:t>Traded</w:t>
      </w:r>
      <w:r>
        <w:rPr>
          <w:b w:val="0"/>
          <w:bCs w:val="0"/>
          <w:spacing w:val="-6"/>
          <w:sz w:val="20"/>
          <w:szCs w:val="20"/>
        </w:rPr>
        <w:t xml:space="preserve"> </w:t>
      </w:r>
      <w:r>
        <w:rPr>
          <w:b w:val="0"/>
          <w:bCs w:val="0"/>
          <w:spacing w:val="-4"/>
          <w:sz w:val="20"/>
          <w:szCs w:val="20"/>
        </w:rPr>
        <w:t>Fund</w:t>
      </w:r>
    </w:p>
    <w:p w:rsidRPr="00832783" w:rsidR="00BB0FBA" w:rsidP="00BB0FBA" w:rsidRDefault="00BB0FBA" w14:paraId="0174C9B7" w14:textId="77777777">
      <w:pPr>
        <w:pStyle w:val="BodyText"/>
        <w:spacing w:before="8"/>
        <w:rPr>
          <w:sz w:val="20"/>
          <w:szCs w:val="20"/>
        </w:rPr>
      </w:pPr>
    </w:p>
    <w:p w:rsidRPr="00832783" w:rsidR="00BB0FBA" w:rsidP="00BB0FBA" w:rsidRDefault="00B34D16" w14:paraId="786B2747" w14:textId="77777777">
      <w:pPr>
        <w:pStyle w:val="BodyText"/>
        <w:ind w:left="567" w:right="523"/>
        <w:jc w:val="both"/>
        <w:rPr>
          <w:sz w:val="20"/>
          <w:szCs w:val="20"/>
        </w:rPr>
      </w:pPr>
      <w:bookmarkStart w:name="The_Fund_is_an_Exchange_Traded_Fund_(&quot;ET" w:id="19"/>
      <w:bookmarkEnd w:id="19"/>
      <w:r>
        <w:rPr>
          <w:sz w:val="20"/>
          <w:szCs w:val="20"/>
        </w:rPr>
        <w:t>The Fund</w:t>
      </w:r>
      <w:r>
        <w:rPr>
          <w:spacing w:val="-2"/>
          <w:sz w:val="20"/>
          <w:szCs w:val="20"/>
        </w:rPr>
        <w:t xml:space="preserve"> </w:t>
      </w:r>
      <w:r>
        <w:rPr>
          <w:sz w:val="20"/>
          <w:szCs w:val="20"/>
        </w:rPr>
        <w:t>is</w:t>
      </w:r>
      <w:r>
        <w:rPr>
          <w:spacing w:val="-2"/>
          <w:sz w:val="20"/>
          <w:szCs w:val="20"/>
        </w:rPr>
        <w:t xml:space="preserve"> </w:t>
      </w:r>
      <w:r>
        <w:rPr>
          <w:sz w:val="20"/>
          <w:szCs w:val="20"/>
        </w:rPr>
        <w:t>an</w:t>
      </w:r>
      <w:r>
        <w:rPr>
          <w:spacing w:val="-2"/>
          <w:sz w:val="20"/>
          <w:szCs w:val="20"/>
        </w:rPr>
        <w:t xml:space="preserve"> </w:t>
      </w:r>
      <w:r>
        <w:rPr>
          <w:sz w:val="20"/>
          <w:szCs w:val="20"/>
        </w:rPr>
        <w:t>ETF.</w:t>
      </w:r>
      <w:r>
        <w:rPr>
          <w:spacing w:val="-3"/>
          <w:sz w:val="20"/>
          <w:szCs w:val="20"/>
        </w:rPr>
        <w:t xml:space="preserve"> </w:t>
      </w:r>
      <w:r>
        <w:rPr>
          <w:sz w:val="20"/>
          <w:szCs w:val="20"/>
        </w:rPr>
        <w:t>The</w:t>
      </w:r>
      <w:r>
        <w:rPr>
          <w:spacing w:val="-4"/>
          <w:sz w:val="20"/>
          <w:szCs w:val="20"/>
        </w:rPr>
        <w:t xml:space="preserve"> </w:t>
      </w:r>
      <w:r>
        <w:rPr>
          <w:sz w:val="20"/>
          <w:szCs w:val="20"/>
        </w:rPr>
        <w:t>Shares</w:t>
      </w:r>
      <w:r>
        <w:rPr>
          <w:spacing w:val="-2"/>
          <w:sz w:val="20"/>
          <w:szCs w:val="20"/>
        </w:rPr>
        <w:t xml:space="preserve"> </w:t>
      </w:r>
      <w:r>
        <w:rPr>
          <w:sz w:val="20"/>
          <w:szCs w:val="20"/>
        </w:rPr>
        <w:t>of</w:t>
      </w:r>
      <w:r>
        <w:rPr>
          <w:spacing w:val="-1"/>
          <w:sz w:val="20"/>
          <w:szCs w:val="20"/>
        </w:rPr>
        <w:t xml:space="preserve"> </w:t>
      </w:r>
      <w:r>
        <w:rPr>
          <w:sz w:val="20"/>
          <w:szCs w:val="20"/>
        </w:rPr>
        <w:t>this</w:t>
      </w:r>
      <w:r>
        <w:rPr>
          <w:spacing w:val="-5"/>
          <w:sz w:val="20"/>
          <w:szCs w:val="20"/>
        </w:rPr>
        <w:t xml:space="preserve"> </w:t>
      </w:r>
      <w:r>
        <w:rPr>
          <w:sz w:val="20"/>
          <w:szCs w:val="20"/>
        </w:rPr>
        <w:t>Fund</w:t>
      </w:r>
      <w:r>
        <w:rPr>
          <w:spacing w:val="-2"/>
          <w:sz w:val="20"/>
          <w:szCs w:val="20"/>
        </w:rPr>
        <w:t xml:space="preserve"> </w:t>
      </w:r>
      <w:r>
        <w:rPr>
          <w:sz w:val="20"/>
          <w:szCs w:val="20"/>
        </w:rPr>
        <w:t>(where</w:t>
      </w:r>
      <w:r>
        <w:rPr>
          <w:spacing w:val="-2"/>
          <w:sz w:val="20"/>
          <w:szCs w:val="20"/>
        </w:rPr>
        <w:t xml:space="preserve"> </w:t>
      </w:r>
      <w:r>
        <w:rPr>
          <w:sz w:val="20"/>
          <w:szCs w:val="20"/>
        </w:rPr>
        <w:t>they</w:t>
      </w:r>
      <w:r>
        <w:rPr>
          <w:spacing w:val="-5"/>
          <w:sz w:val="20"/>
          <w:szCs w:val="20"/>
        </w:rPr>
        <w:t xml:space="preserve"> </w:t>
      </w:r>
      <w:r>
        <w:rPr>
          <w:sz w:val="20"/>
          <w:szCs w:val="20"/>
        </w:rPr>
        <w:t>are</w:t>
      </w:r>
      <w:r>
        <w:rPr>
          <w:spacing w:val="-2"/>
          <w:sz w:val="20"/>
          <w:szCs w:val="20"/>
        </w:rPr>
        <w:t xml:space="preserve"> </w:t>
      </w:r>
      <w:r>
        <w:rPr>
          <w:sz w:val="20"/>
          <w:szCs w:val="20"/>
        </w:rPr>
        <w:t>listed</w:t>
      </w:r>
      <w:r>
        <w:rPr>
          <w:spacing w:val="-2"/>
          <w:sz w:val="20"/>
          <w:szCs w:val="20"/>
        </w:rPr>
        <w:t xml:space="preserve"> </w:t>
      </w:r>
      <w:r>
        <w:rPr>
          <w:sz w:val="20"/>
          <w:szCs w:val="20"/>
        </w:rPr>
        <w:t>on</w:t>
      </w:r>
      <w:r>
        <w:rPr>
          <w:spacing w:val="-2"/>
          <w:sz w:val="20"/>
          <w:szCs w:val="20"/>
        </w:rPr>
        <w:t xml:space="preserve"> </w:t>
      </w:r>
      <w:r>
        <w:rPr>
          <w:sz w:val="20"/>
          <w:szCs w:val="20"/>
        </w:rPr>
        <w:t>the Relevant</w:t>
      </w:r>
      <w:r>
        <w:rPr>
          <w:spacing w:val="-1"/>
          <w:sz w:val="20"/>
          <w:szCs w:val="20"/>
        </w:rPr>
        <w:t xml:space="preserve"> </w:t>
      </w:r>
      <w:r>
        <w:rPr>
          <w:sz w:val="20"/>
          <w:szCs w:val="20"/>
        </w:rPr>
        <w:t>Stock Exchanges)</w:t>
      </w:r>
      <w:r>
        <w:rPr>
          <w:spacing w:val="-1"/>
          <w:sz w:val="20"/>
          <w:szCs w:val="20"/>
        </w:rPr>
        <w:t xml:space="preserve"> </w:t>
      </w:r>
      <w:r>
        <w:rPr>
          <w:sz w:val="20"/>
          <w:szCs w:val="20"/>
        </w:rPr>
        <w:t>are</w:t>
      </w:r>
      <w:r>
        <w:rPr>
          <w:spacing w:val="-1"/>
          <w:sz w:val="20"/>
          <w:szCs w:val="20"/>
        </w:rPr>
        <w:t xml:space="preserve"> </w:t>
      </w:r>
      <w:r>
        <w:rPr>
          <w:sz w:val="20"/>
          <w:szCs w:val="20"/>
        </w:rPr>
        <w:t>fully</w:t>
      </w:r>
      <w:r>
        <w:rPr>
          <w:spacing w:val="-2"/>
          <w:sz w:val="20"/>
          <w:szCs w:val="20"/>
        </w:rPr>
        <w:t xml:space="preserve"> </w:t>
      </w:r>
      <w:r>
        <w:rPr>
          <w:sz w:val="20"/>
          <w:szCs w:val="20"/>
        </w:rPr>
        <w:t>transferable</w:t>
      </w:r>
      <w:r>
        <w:rPr>
          <w:spacing w:val="-1"/>
          <w:sz w:val="20"/>
          <w:szCs w:val="20"/>
        </w:rPr>
        <w:t xml:space="preserve"> </w:t>
      </w:r>
      <w:r>
        <w:rPr>
          <w:sz w:val="20"/>
          <w:szCs w:val="20"/>
        </w:rPr>
        <w:t>among</w:t>
      </w:r>
      <w:r>
        <w:rPr>
          <w:spacing w:val="-2"/>
          <w:sz w:val="20"/>
          <w:szCs w:val="20"/>
        </w:rPr>
        <w:t xml:space="preserve"> </w:t>
      </w:r>
      <w:r>
        <w:rPr>
          <w:sz w:val="20"/>
          <w:szCs w:val="20"/>
        </w:rPr>
        <w:t>investors.</w:t>
      </w:r>
      <w:r>
        <w:rPr>
          <w:spacing w:val="40"/>
          <w:sz w:val="20"/>
          <w:szCs w:val="20"/>
        </w:rPr>
        <w:t xml:space="preserve"> </w:t>
      </w:r>
      <w:r>
        <w:rPr>
          <w:sz w:val="20"/>
          <w:szCs w:val="20"/>
        </w:rPr>
        <w:t>It</w:t>
      </w:r>
      <w:r>
        <w:rPr>
          <w:spacing w:val="-1"/>
          <w:sz w:val="20"/>
          <w:szCs w:val="20"/>
        </w:rPr>
        <w:t xml:space="preserve"> </w:t>
      </w:r>
      <w:r>
        <w:rPr>
          <w:sz w:val="20"/>
          <w:szCs w:val="20"/>
        </w:rPr>
        <w:t>is</w:t>
      </w:r>
      <w:r>
        <w:rPr>
          <w:spacing w:val="-1"/>
          <w:sz w:val="20"/>
          <w:szCs w:val="20"/>
        </w:rPr>
        <w:t xml:space="preserve"> </w:t>
      </w:r>
      <w:r>
        <w:rPr>
          <w:sz w:val="20"/>
          <w:szCs w:val="20"/>
        </w:rPr>
        <w:t>envisaged</w:t>
      </w:r>
      <w:r>
        <w:rPr>
          <w:spacing w:val="-1"/>
          <w:sz w:val="20"/>
          <w:szCs w:val="20"/>
        </w:rPr>
        <w:t xml:space="preserve"> </w:t>
      </w:r>
      <w:r>
        <w:rPr>
          <w:sz w:val="20"/>
          <w:szCs w:val="20"/>
        </w:rPr>
        <w:t>that</w:t>
      </w:r>
      <w:r>
        <w:rPr>
          <w:spacing w:val="-1"/>
          <w:sz w:val="20"/>
          <w:szCs w:val="20"/>
        </w:rPr>
        <w:t xml:space="preserve"> </w:t>
      </w:r>
      <w:r>
        <w:rPr>
          <w:sz w:val="20"/>
          <w:szCs w:val="20"/>
        </w:rPr>
        <w:t>Shares</w:t>
      </w:r>
      <w:r>
        <w:rPr>
          <w:spacing w:val="-1"/>
          <w:sz w:val="20"/>
          <w:szCs w:val="20"/>
        </w:rPr>
        <w:t xml:space="preserve"> </w:t>
      </w:r>
      <w:r>
        <w:rPr>
          <w:sz w:val="20"/>
          <w:szCs w:val="20"/>
        </w:rPr>
        <w:t>will be bought and sold by public and institutional investors in the secondary market in the same way as the ordinary shares of a listed trading company.</w:t>
      </w:r>
    </w:p>
    <w:p w:rsidRPr="00832783" w:rsidR="00BB0FBA" w:rsidP="00BB0FBA" w:rsidRDefault="00BB0FBA" w14:paraId="41CEB8AB" w14:textId="77777777">
      <w:pPr>
        <w:pStyle w:val="BodyText"/>
        <w:rPr>
          <w:sz w:val="20"/>
          <w:szCs w:val="20"/>
        </w:rPr>
      </w:pPr>
    </w:p>
    <w:p w:rsidR="004E1231" w:rsidP="004E1231" w:rsidRDefault="004E1231" w14:paraId="5B39C3CF" w14:textId="77777777">
      <w:pPr>
        <w:pStyle w:val="Heading1"/>
        <w:tabs>
          <w:tab w:val="left" w:pos="567"/>
        </w:tabs>
        <w:spacing w:before="0"/>
        <w:ind w:left="853" w:firstLine="0"/>
        <w:jc w:val="both"/>
        <w:rPr>
          <w:b w:val="0"/>
          <w:bCs w:val="0"/>
          <w:sz w:val="20"/>
          <w:szCs w:val="20"/>
        </w:rPr>
      </w:pPr>
      <w:bookmarkStart w:name="2.10_Dividend_Policy" w:id="20"/>
      <w:bookmarkEnd w:id="20"/>
    </w:p>
    <w:p w:rsidR="004E1231" w:rsidP="004E1231" w:rsidRDefault="004E1231" w14:paraId="437CE05C" w14:textId="77777777">
      <w:pPr>
        <w:pStyle w:val="Heading1"/>
        <w:tabs>
          <w:tab w:val="left" w:pos="567"/>
        </w:tabs>
        <w:spacing w:before="0"/>
        <w:ind w:left="853" w:firstLine="0"/>
        <w:jc w:val="both"/>
        <w:rPr>
          <w:b w:val="0"/>
          <w:bCs w:val="0"/>
          <w:sz w:val="20"/>
          <w:szCs w:val="20"/>
        </w:rPr>
      </w:pPr>
    </w:p>
    <w:p w:rsidRPr="004D5104" w:rsidR="00BB0FBA" w:rsidP="00B42322" w:rsidRDefault="00B34D16" w14:paraId="328F5076" w14:textId="11433AF7">
      <w:pPr>
        <w:pStyle w:val="Heading1"/>
        <w:numPr>
          <w:ilvl w:val="1"/>
          <w:numId w:val="12"/>
        </w:numPr>
        <w:tabs>
          <w:tab w:val="left" w:pos="567"/>
        </w:tabs>
        <w:spacing w:before="0"/>
        <w:ind w:left="853" w:hanging="1224"/>
        <w:jc w:val="both"/>
        <w:rPr>
          <w:b w:val="0"/>
          <w:bCs w:val="0"/>
          <w:sz w:val="20"/>
          <w:szCs w:val="20"/>
        </w:rPr>
      </w:pPr>
      <w:r>
        <w:rPr>
          <w:b w:val="0"/>
          <w:bCs w:val="0"/>
          <w:sz w:val="20"/>
          <w:szCs w:val="20"/>
        </w:rPr>
        <w:lastRenderedPageBreak/>
        <w:t>Dividend Policy</w:t>
      </w:r>
    </w:p>
    <w:p w:rsidRPr="00832783" w:rsidR="00BB0FBA" w:rsidP="00BB0FBA" w:rsidRDefault="00BB0FBA" w14:paraId="3F0E9EA0" w14:textId="77777777">
      <w:pPr>
        <w:pStyle w:val="BodyText"/>
        <w:spacing w:before="9"/>
        <w:rPr>
          <w:sz w:val="20"/>
          <w:szCs w:val="20"/>
        </w:rPr>
      </w:pPr>
    </w:p>
    <w:p w:rsidR="00BB0FBA" w:rsidP="00BB0FBA" w:rsidRDefault="00B34D16" w14:paraId="2EE83F36" w14:textId="77777777">
      <w:pPr>
        <w:pStyle w:val="BodyText"/>
        <w:ind w:left="567" w:right="523"/>
        <w:jc w:val="both"/>
        <w:rPr>
          <w:spacing w:val="-2"/>
          <w:sz w:val="20"/>
          <w:szCs w:val="20"/>
        </w:rPr>
      </w:pPr>
      <w:bookmarkStart w:name="The_Board_of_Directors_is_entitled_to_de" w:id="21"/>
      <w:bookmarkEnd w:id="21"/>
      <w:r>
        <w:rPr>
          <w:sz w:val="20"/>
          <w:szCs w:val="20"/>
        </w:rPr>
        <w:t>It is currently intended that</w:t>
      </w:r>
      <w:r>
        <w:rPr>
          <w:spacing w:val="-3"/>
          <w:sz w:val="20"/>
          <w:szCs w:val="20"/>
        </w:rPr>
        <w:t xml:space="preserve"> </w:t>
      </w:r>
      <w:r>
        <w:rPr>
          <w:sz w:val="20"/>
          <w:szCs w:val="20"/>
        </w:rPr>
        <w:t>the</w:t>
      </w:r>
      <w:r>
        <w:rPr>
          <w:spacing w:val="-2"/>
          <w:sz w:val="20"/>
          <w:szCs w:val="20"/>
        </w:rPr>
        <w:t xml:space="preserve"> </w:t>
      </w:r>
      <w:r>
        <w:rPr>
          <w:sz w:val="20"/>
          <w:szCs w:val="20"/>
        </w:rPr>
        <w:t>Class</w:t>
      </w:r>
      <w:r>
        <w:rPr>
          <w:spacing w:val="-5"/>
          <w:sz w:val="20"/>
          <w:szCs w:val="20"/>
        </w:rPr>
        <w:t xml:space="preserve"> </w:t>
      </w:r>
      <w:r>
        <w:rPr>
          <w:sz w:val="20"/>
          <w:szCs w:val="20"/>
        </w:rPr>
        <w:t>A Shares</w:t>
      </w:r>
      <w:r>
        <w:rPr>
          <w:spacing w:val="-2"/>
          <w:sz w:val="20"/>
          <w:szCs w:val="20"/>
        </w:rPr>
        <w:t xml:space="preserve"> will be accumulating in nature (the “</w:t>
      </w:r>
      <w:r>
        <w:rPr>
          <w:b/>
          <w:bCs/>
          <w:spacing w:val="-2"/>
          <w:sz w:val="20"/>
          <w:szCs w:val="20"/>
        </w:rPr>
        <w:t>Accumulation Share Class</w:t>
      </w:r>
      <w:r>
        <w:rPr>
          <w:spacing w:val="-2"/>
          <w:sz w:val="20"/>
          <w:szCs w:val="20"/>
        </w:rPr>
        <w:t>”).</w:t>
      </w:r>
    </w:p>
    <w:p w:rsidRPr="00832783" w:rsidR="00BB0FBA" w:rsidP="00BB0FBA" w:rsidRDefault="00BB0FBA" w14:paraId="1ECDC15A" w14:textId="77777777">
      <w:pPr>
        <w:pStyle w:val="BodyText"/>
        <w:ind w:left="567" w:right="523"/>
        <w:jc w:val="both"/>
        <w:rPr>
          <w:sz w:val="20"/>
          <w:szCs w:val="20"/>
        </w:rPr>
      </w:pPr>
    </w:p>
    <w:p w:rsidRPr="00832783" w:rsidR="00BB0FBA" w:rsidP="00BB0FBA" w:rsidRDefault="00B34D16" w14:paraId="567F5F27" w14:textId="77777777">
      <w:pPr>
        <w:pStyle w:val="BodyText"/>
        <w:ind w:left="567" w:right="523"/>
        <w:jc w:val="both"/>
        <w:rPr>
          <w:sz w:val="20"/>
          <w:szCs w:val="20"/>
        </w:rPr>
      </w:pPr>
      <w:r>
        <w:rPr>
          <w:sz w:val="20"/>
          <w:szCs w:val="20"/>
        </w:rPr>
        <w:t>The Accumulation Share Class does not anticipate paying a dividend in respect of the Shares. All income and profits earned by the Fund attributable to the Accumulation Share Class will accrue to the benefit of the Accumulation Share Class and will be reflected in the Net Asset Value attributable to the Accumulation Share Class.</w:t>
      </w:r>
    </w:p>
    <w:p w:rsidRPr="00832783" w:rsidR="00BB0FBA" w:rsidP="00BB0FBA" w:rsidRDefault="00BB0FBA" w14:paraId="6F72439E" w14:textId="77777777">
      <w:pPr>
        <w:pStyle w:val="BodyText"/>
        <w:rPr>
          <w:sz w:val="20"/>
          <w:szCs w:val="20"/>
        </w:rPr>
      </w:pPr>
    </w:p>
    <w:p w:rsidRPr="004D5104" w:rsidR="00BB0FBA" w:rsidP="00B42322" w:rsidRDefault="00B34D16" w14:paraId="0D98E62F" w14:textId="77777777">
      <w:pPr>
        <w:pStyle w:val="Heading1"/>
        <w:numPr>
          <w:ilvl w:val="1"/>
          <w:numId w:val="12"/>
        </w:numPr>
        <w:tabs>
          <w:tab w:val="left" w:pos="567"/>
        </w:tabs>
        <w:spacing w:before="0"/>
        <w:ind w:left="853" w:hanging="1224"/>
        <w:jc w:val="both"/>
        <w:rPr>
          <w:b w:val="0"/>
          <w:bCs w:val="0"/>
          <w:sz w:val="20"/>
          <w:szCs w:val="20"/>
        </w:rPr>
      </w:pPr>
      <w:bookmarkStart w:name="2.11_Fees_and_Expenses" w:id="22"/>
      <w:bookmarkEnd w:id="22"/>
      <w:r>
        <w:rPr>
          <w:b w:val="0"/>
          <w:bCs w:val="0"/>
          <w:sz w:val="20"/>
          <w:szCs w:val="20"/>
        </w:rPr>
        <w:t xml:space="preserve">Fees and Expenses </w:t>
      </w:r>
      <w:bookmarkStart w:name="Duties_and_Charges" w:id="23"/>
      <w:bookmarkEnd w:id="23"/>
    </w:p>
    <w:p w:rsidR="00BB0FBA" w:rsidP="006302C7" w:rsidRDefault="00BB0FBA" w14:paraId="1721956A" w14:textId="77777777">
      <w:pPr>
        <w:pStyle w:val="BodyText"/>
        <w:ind w:right="523"/>
        <w:jc w:val="both"/>
        <w:rPr>
          <w:sz w:val="20"/>
          <w:szCs w:val="20"/>
        </w:rPr>
      </w:pPr>
    </w:p>
    <w:p w:rsidRPr="00832783" w:rsidR="004C75BB" w:rsidP="004C75BB" w:rsidRDefault="00B34D16" w14:paraId="0B76F859" w14:textId="77777777">
      <w:pPr>
        <w:pStyle w:val="BodyText"/>
        <w:ind w:left="567" w:right="523"/>
        <w:jc w:val="both"/>
        <w:rPr>
          <w:sz w:val="20"/>
          <w:szCs w:val="20"/>
        </w:rPr>
      </w:pPr>
      <w:r>
        <w:rPr>
          <w:sz w:val="20"/>
          <w:szCs w:val="20"/>
        </w:rPr>
        <w:t xml:space="preserve">This section should be read in conjunction with the section entitled "Fees and Expenses" in the </w:t>
      </w:r>
      <w:r>
        <w:rPr>
          <w:spacing w:val="-2"/>
          <w:sz w:val="20"/>
          <w:szCs w:val="20"/>
        </w:rPr>
        <w:t>Prospectus.</w:t>
      </w:r>
    </w:p>
    <w:p w:rsidR="004C75BB" w:rsidP="00BB0FBA" w:rsidRDefault="004C75BB" w14:paraId="30D93875" w14:textId="77777777">
      <w:pPr>
        <w:pStyle w:val="BodyText"/>
        <w:spacing w:before="1"/>
        <w:ind w:left="1224" w:hanging="657"/>
        <w:jc w:val="both"/>
        <w:rPr>
          <w:sz w:val="20"/>
          <w:szCs w:val="20"/>
          <w:u w:val="single"/>
        </w:rPr>
      </w:pPr>
    </w:p>
    <w:p w:rsidR="00BB0FBA" w:rsidP="00BB0FBA" w:rsidRDefault="00B34D16" w14:paraId="7E6DD447" w14:textId="6E2231B1">
      <w:pPr>
        <w:pStyle w:val="BodyText"/>
        <w:spacing w:before="1"/>
        <w:ind w:left="1224" w:hanging="657"/>
        <w:jc w:val="both"/>
        <w:rPr>
          <w:sz w:val="20"/>
          <w:szCs w:val="20"/>
          <w:u w:val="single"/>
        </w:rPr>
      </w:pPr>
      <w:r>
        <w:rPr>
          <w:sz w:val="20"/>
          <w:szCs w:val="20"/>
          <w:u w:val="single"/>
        </w:rPr>
        <w:t>Total Expense Ratio</w:t>
      </w:r>
    </w:p>
    <w:p w:rsidRPr="00A64649" w:rsidR="00BB0FBA" w:rsidP="00BB0FBA" w:rsidRDefault="00BB0FBA" w14:paraId="5675A0A7" w14:textId="77777777">
      <w:pPr>
        <w:pStyle w:val="BodyText"/>
        <w:spacing w:before="1"/>
        <w:ind w:left="1224" w:hanging="657"/>
        <w:jc w:val="both"/>
        <w:rPr>
          <w:sz w:val="20"/>
          <w:szCs w:val="20"/>
          <w:u w:val="single"/>
        </w:rPr>
      </w:pPr>
    </w:p>
    <w:p w:rsidR="00BB0FBA" w:rsidP="00BB0FBA" w:rsidRDefault="00B34D16" w14:paraId="79A1000E" w14:textId="43E865A5">
      <w:pPr>
        <w:pStyle w:val="BodyText"/>
        <w:ind w:left="567" w:right="523"/>
        <w:jc w:val="both"/>
        <w:rPr>
          <w:sz w:val="20"/>
          <w:szCs w:val="20"/>
        </w:rPr>
      </w:pPr>
      <w:r>
        <w:rPr>
          <w:sz w:val="20"/>
          <w:szCs w:val="20"/>
        </w:rPr>
        <w:t>Separate to and distinct from the Duties and Charges, fees and expenses will be incurred by the ICAV on behalf of the Fund and will affect the Net Asset Value of the relevant Share Class. Such fees and expenses will be the Total Expense Ratio ("</w:t>
      </w:r>
      <w:r>
        <w:rPr>
          <w:b/>
          <w:sz w:val="20"/>
          <w:szCs w:val="20"/>
        </w:rPr>
        <w:t>TER</w:t>
      </w:r>
      <w:r>
        <w:rPr>
          <w:sz w:val="20"/>
          <w:szCs w:val="20"/>
        </w:rPr>
        <w:t xml:space="preserve">") as set out in Section 1, "Definitions" above.  </w:t>
      </w:r>
      <w:r>
        <w:rPr>
          <w:sz w:val="20"/>
        </w:rPr>
        <w:t>The maximum level of management fees (exclusive of any performance fee) which may be charged by an Underlying Fund in which the Fund invests is 3% per annum of the net asset value of that Underlying Fund.</w:t>
      </w:r>
    </w:p>
    <w:p w:rsidRPr="00A64649" w:rsidR="00BB0FBA" w:rsidP="00BB0FBA" w:rsidRDefault="00BB0FBA" w14:paraId="308C0DAD" w14:textId="77777777">
      <w:pPr>
        <w:pStyle w:val="BodyText"/>
        <w:ind w:left="567" w:right="523"/>
        <w:jc w:val="both"/>
        <w:rPr>
          <w:sz w:val="20"/>
          <w:szCs w:val="20"/>
        </w:rPr>
      </w:pPr>
    </w:p>
    <w:p w:rsidR="00BB0FBA" w:rsidP="00BB0FBA" w:rsidRDefault="00B34D16" w14:paraId="07F5719B" w14:textId="51D62430">
      <w:pPr>
        <w:pStyle w:val="BodyText"/>
        <w:ind w:left="567" w:right="523"/>
        <w:jc w:val="both"/>
        <w:rPr>
          <w:sz w:val="20"/>
          <w:szCs w:val="20"/>
        </w:rPr>
      </w:pPr>
      <w:r>
        <w:rPr>
          <w:sz w:val="20"/>
          <w:szCs w:val="20"/>
        </w:rPr>
        <w:t>The TER, which is expressed as a percentage of the Net Asset Value of the relevant Share Class, represents the maximum fees and expenses payable by the ICAV on behalf of the relevant Share Class (other than any Extraordinary Expenses and Duties and Charges), including in respect of the management fees charged by Underlying Funds (plus any VAT if applicable, as detailed in the Prospectus).</w:t>
      </w:r>
    </w:p>
    <w:p w:rsidRPr="00A64649" w:rsidR="00BB0FBA" w:rsidP="00BB0FBA" w:rsidRDefault="00BB0FBA" w14:paraId="6E13ECEC" w14:textId="77777777">
      <w:pPr>
        <w:pStyle w:val="BodyText"/>
        <w:ind w:left="567" w:right="523"/>
        <w:jc w:val="both"/>
        <w:rPr>
          <w:sz w:val="20"/>
          <w:szCs w:val="20"/>
        </w:rPr>
      </w:pPr>
    </w:p>
    <w:p w:rsidR="00BB0FBA" w:rsidP="00BB0FBA" w:rsidRDefault="00B34D16" w14:paraId="0D74FA9F" w14:textId="77777777">
      <w:pPr>
        <w:pStyle w:val="BodyText"/>
        <w:ind w:left="567" w:right="523"/>
        <w:jc w:val="both"/>
        <w:rPr>
          <w:sz w:val="20"/>
          <w:szCs w:val="20"/>
        </w:rPr>
      </w:pPr>
      <w:r>
        <w:rPr>
          <w:sz w:val="20"/>
          <w:szCs w:val="20"/>
        </w:rPr>
        <w:t>Any Extraordinary Expenses will be charged to the Fund in addition and will reduce the Net Asset Value of the relevant Share Class accordingly.</w:t>
      </w:r>
    </w:p>
    <w:p w:rsidRPr="00A64649" w:rsidR="00BB0FBA" w:rsidP="00BB0FBA" w:rsidRDefault="00BB0FBA" w14:paraId="5BBF53FE" w14:textId="77777777">
      <w:pPr>
        <w:pStyle w:val="BodyText"/>
        <w:ind w:left="567" w:right="523"/>
        <w:jc w:val="both"/>
        <w:rPr>
          <w:sz w:val="20"/>
          <w:szCs w:val="20"/>
        </w:rPr>
      </w:pPr>
    </w:p>
    <w:p w:rsidRPr="004C75BB" w:rsidR="00BB0FBA" w:rsidP="004C75BB" w:rsidRDefault="00B34D16" w14:paraId="3298D0AC" w14:textId="18579C60">
      <w:pPr>
        <w:pStyle w:val="BodyText"/>
        <w:ind w:left="567" w:right="523"/>
        <w:jc w:val="both"/>
        <w:rPr>
          <w:sz w:val="20"/>
          <w:szCs w:val="20"/>
        </w:rPr>
      </w:pPr>
      <w:r>
        <w:rPr>
          <w:sz w:val="20"/>
          <w:szCs w:val="20"/>
        </w:rPr>
        <w:t>During the life of the Fund, the maximum TER may need to be increased from time to time. Any such increase will be subject to the prior approval of Shareholders in accordance with the provision of the Instrument.</w:t>
      </w:r>
      <w:bookmarkStart w:name="2.12_Other_Fees_and_Expenses" w:id="24"/>
      <w:bookmarkEnd w:id="24"/>
    </w:p>
    <w:p w:rsidRPr="00832783" w:rsidR="00BB0FBA" w:rsidP="00BB0FBA" w:rsidRDefault="00BB0FBA" w14:paraId="6B08C463" w14:textId="77777777">
      <w:pPr>
        <w:pStyle w:val="BodyText"/>
        <w:rPr>
          <w:sz w:val="20"/>
          <w:szCs w:val="20"/>
        </w:rPr>
      </w:pPr>
    </w:p>
    <w:p w:rsidR="00BB0FBA" w:rsidP="00BB0FBA" w:rsidRDefault="00B34D16" w14:paraId="4A6309CB" w14:textId="77777777">
      <w:pPr>
        <w:pStyle w:val="BodyText"/>
        <w:spacing w:before="1"/>
        <w:ind w:left="1224" w:hanging="657"/>
        <w:jc w:val="both"/>
        <w:rPr>
          <w:sz w:val="20"/>
          <w:szCs w:val="20"/>
          <w:u w:val="single"/>
        </w:rPr>
      </w:pPr>
      <w:r>
        <w:rPr>
          <w:sz w:val="20"/>
          <w:szCs w:val="20"/>
          <w:u w:val="single"/>
        </w:rPr>
        <w:t>Establishment Expenses</w:t>
      </w:r>
    </w:p>
    <w:p w:rsidRPr="001B67A3" w:rsidR="00BB0FBA" w:rsidP="00BB0FBA" w:rsidRDefault="00BB0FBA" w14:paraId="547B8617" w14:textId="77777777">
      <w:pPr>
        <w:pStyle w:val="BodyText"/>
        <w:spacing w:before="1"/>
        <w:ind w:left="1224" w:hanging="657"/>
        <w:jc w:val="both"/>
        <w:rPr>
          <w:sz w:val="20"/>
          <w:szCs w:val="20"/>
          <w:u w:val="single"/>
        </w:rPr>
      </w:pPr>
    </w:p>
    <w:p w:rsidR="00BB0FBA" w:rsidP="00BB0FBA" w:rsidRDefault="00B34D16" w14:paraId="21D3F5ED" w14:textId="77777777">
      <w:pPr>
        <w:pStyle w:val="BodyText"/>
        <w:ind w:left="567" w:right="523"/>
        <w:jc w:val="both"/>
        <w:rPr>
          <w:sz w:val="20"/>
          <w:szCs w:val="20"/>
        </w:rPr>
      </w:pPr>
      <w:r>
        <w:rPr>
          <w:sz w:val="20"/>
          <w:szCs w:val="20"/>
        </w:rPr>
        <w:t>As detailed in the section</w:t>
      </w:r>
      <w:r>
        <w:rPr>
          <w:spacing w:val="-2"/>
          <w:sz w:val="20"/>
          <w:szCs w:val="20"/>
        </w:rPr>
        <w:t xml:space="preserve"> </w:t>
      </w:r>
      <w:r>
        <w:rPr>
          <w:sz w:val="20"/>
          <w:szCs w:val="20"/>
        </w:rPr>
        <w:t>of the Prospectus entitled</w:t>
      </w:r>
      <w:r>
        <w:rPr>
          <w:spacing w:val="-2"/>
          <w:sz w:val="20"/>
          <w:szCs w:val="20"/>
        </w:rPr>
        <w:t xml:space="preserve"> </w:t>
      </w:r>
      <w:r>
        <w:rPr>
          <w:sz w:val="20"/>
          <w:szCs w:val="20"/>
        </w:rPr>
        <w:t>"Establishment</w:t>
      </w:r>
      <w:r>
        <w:rPr>
          <w:spacing w:val="-1"/>
          <w:sz w:val="20"/>
          <w:szCs w:val="20"/>
        </w:rPr>
        <w:t xml:space="preserve"> </w:t>
      </w:r>
      <w:r>
        <w:rPr>
          <w:sz w:val="20"/>
          <w:szCs w:val="20"/>
        </w:rPr>
        <w:t>Expenses",</w:t>
      </w:r>
      <w:r>
        <w:rPr>
          <w:spacing w:val="-1"/>
          <w:sz w:val="20"/>
          <w:szCs w:val="20"/>
        </w:rPr>
        <w:t xml:space="preserve"> </w:t>
      </w:r>
      <w:r>
        <w:rPr>
          <w:sz w:val="20"/>
          <w:szCs w:val="20"/>
        </w:rPr>
        <w:t xml:space="preserve">all fees and expenses relating to the establishment and </w:t>
      </w:r>
      <w:proofErr w:type="spellStart"/>
      <w:r>
        <w:rPr>
          <w:sz w:val="20"/>
          <w:szCs w:val="20"/>
        </w:rPr>
        <w:t>organisation</w:t>
      </w:r>
      <w:proofErr w:type="spellEnd"/>
      <w:r>
        <w:rPr>
          <w:sz w:val="20"/>
          <w:szCs w:val="20"/>
        </w:rPr>
        <w:t xml:space="preserve"> of the Fund shall be borne by</w:t>
      </w:r>
      <w:r>
        <w:rPr>
          <w:spacing w:val="-1"/>
          <w:sz w:val="20"/>
          <w:szCs w:val="20"/>
        </w:rPr>
        <w:t xml:space="preserve"> </w:t>
      </w:r>
      <w:r>
        <w:rPr>
          <w:sz w:val="20"/>
          <w:szCs w:val="20"/>
        </w:rPr>
        <w:t>the Investment Manager.</w:t>
      </w:r>
    </w:p>
    <w:p w:rsidRPr="00832783" w:rsidR="00BB0FBA" w:rsidP="00BB0FBA" w:rsidRDefault="00BB0FBA" w14:paraId="7B914792" w14:textId="77777777">
      <w:pPr>
        <w:pStyle w:val="BodyText"/>
        <w:spacing w:before="9"/>
        <w:rPr>
          <w:sz w:val="20"/>
          <w:szCs w:val="20"/>
        </w:rPr>
      </w:pPr>
    </w:p>
    <w:p w:rsidR="00BB0FBA" w:rsidP="00B42322" w:rsidRDefault="00B34D16" w14:paraId="0F739817" w14:textId="77777777">
      <w:pPr>
        <w:pStyle w:val="Heading1"/>
        <w:numPr>
          <w:ilvl w:val="1"/>
          <w:numId w:val="12"/>
        </w:numPr>
        <w:tabs>
          <w:tab w:val="left" w:pos="567"/>
        </w:tabs>
        <w:spacing w:before="0"/>
        <w:ind w:left="853" w:hanging="1224"/>
        <w:jc w:val="both"/>
        <w:rPr>
          <w:sz w:val="20"/>
          <w:szCs w:val="20"/>
        </w:rPr>
      </w:pPr>
      <w:bookmarkStart w:name="2.14_Risk_Factors" w:id="25"/>
      <w:bookmarkEnd w:id="25"/>
      <w:r>
        <w:rPr>
          <w:b w:val="0"/>
          <w:bCs w:val="0"/>
          <w:sz w:val="20"/>
          <w:szCs w:val="20"/>
        </w:rPr>
        <w:t>Risk Factors</w:t>
      </w:r>
    </w:p>
    <w:p w:rsidRPr="004D5104" w:rsidR="00BB0FBA" w:rsidP="00BB0FBA" w:rsidRDefault="00BB0FBA" w14:paraId="609E5B22" w14:textId="77777777">
      <w:pPr>
        <w:pStyle w:val="Heading1"/>
        <w:tabs>
          <w:tab w:val="left" w:pos="567"/>
        </w:tabs>
        <w:spacing w:before="0"/>
        <w:ind w:left="1224" w:firstLine="0"/>
        <w:jc w:val="both"/>
        <w:rPr>
          <w:b w:val="0"/>
          <w:bCs w:val="0"/>
          <w:sz w:val="20"/>
          <w:szCs w:val="20"/>
        </w:rPr>
      </w:pPr>
    </w:p>
    <w:p w:rsidRPr="00832783" w:rsidR="00BB0FBA" w:rsidP="00BB0FBA" w:rsidRDefault="00B34D16" w14:paraId="361B0AB5" w14:textId="77777777">
      <w:pPr>
        <w:pStyle w:val="BodyText"/>
        <w:ind w:left="567" w:right="523"/>
        <w:jc w:val="both"/>
        <w:rPr>
          <w:sz w:val="20"/>
          <w:szCs w:val="20"/>
        </w:rPr>
      </w:pPr>
      <w:r>
        <w:rPr>
          <w:sz w:val="20"/>
          <w:szCs w:val="20"/>
        </w:rPr>
        <w:t>Certain risks relating to the Shares are set out under the heading “Risk Factors” in the Prospectus. In addition, Shareholders must also note that:</w:t>
      </w:r>
    </w:p>
    <w:p w:rsidRPr="00832783" w:rsidR="00BB0FBA" w:rsidP="00BB0FBA" w:rsidRDefault="00BB0FBA" w14:paraId="4676960C" w14:textId="77777777">
      <w:pPr>
        <w:pStyle w:val="BodyText"/>
        <w:spacing w:before="10"/>
        <w:rPr>
          <w:sz w:val="20"/>
          <w:szCs w:val="20"/>
        </w:rPr>
      </w:pPr>
    </w:p>
    <w:p w:rsidRPr="00832783" w:rsidR="00BB0FBA" w:rsidP="00BB0FBA" w:rsidRDefault="00B34D16" w14:paraId="4E673176" w14:textId="77777777">
      <w:pPr>
        <w:pStyle w:val="ListParagraph"/>
        <w:numPr>
          <w:ilvl w:val="0"/>
          <w:numId w:val="10"/>
        </w:numPr>
        <w:tabs>
          <w:tab w:val="left" w:pos="1134"/>
        </w:tabs>
        <w:ind w:left="1134" w:right="518" w:hanging="567"/>
        <w:jc w:val="both"/>
        <w:rPr>
          <w:rFonts w:ascii="Arial"/>
          <w:sz w:val="20"/>
          <w:szCs w:val="20"/>
        </w:rPr>
      </w:pPr>
      <w:bookmarkStart w:name="(a)_The_Funds_are_segregated_as_a_matter" w:id="26"/>
      <w:bookmarkEnd w:id="26"/>
      <w:r>
        <w:rPr>
          <w:rFonts w:ascii="Arial"/>
          <w:sz w:val="20"/>
          <w:szCs w:val="20"/>
        </w:rPr>
        <w:t>The Funds are segregated as a matter of Irish law and as such, in Ireland, the assets of one Fund will not be available</w:t>
      </w:r>
      <w:r>
        <w:rPr>
          <w:rFonts w:ascii="Arial"/>
          <w:spacing w:val="-1"/>
          <w:sz w:val="20"/>
          <w:szCs w:val="20"/>
        </w:rPr>
        <w:t xml:space="preserve"> </w:t>
      </w:r>
      <w:r>
        <w:rPr>
          <w:rFonts w:ascii="Arial"/>
          <w:sz w:val="20"/>
          <w:szCs w:val="20"/>
        </w:rPr>
        <w:t>to satisfy</w:t>
      </w:r>
      <w:r>
        <w:rPr>
          <w:rFonts w:ascii="Arial"/>
          <w:spacing w:val="-1"/>
          <w:sz w:val="20"/>
          <w:szCs w:val="20"/>
        </w:rPr>
        <w:t xml:space="preserve"> </w:t>
      </w:r>
      <w:r>
        <w:rPr>
          <w:rFonts w:ascii="Arial"/>
          <w:sz w:val="20"/>
          <w:szCs w:val="20"/>
        </w:rPr>
        <w:t>the liabilities of another Fund. However, it should be noted that</w:t>
      </w:r>
      <w:r>
        <w:rPr>
          <w:rFonts w:ascii="Arial"/>
          <w:spacing w:val="-2"/>
          <w:sz w:val="20"/>
          <w:szCs w:val="20"/>
        </w:rPr>
        <w:t xml:space="preserve"> </w:t>
      </w:r>
      <w:r>
        <w:rPr>
          <w:rFonts w:ascii="Arial"/>
          <w:sz w:val="20"/>
          <w:szCs w:val="20"/>
        </w:rPr>
        <w:t>the</w:t>
      </w:r>
      <w:r>
        <w:rPr>
          <w:rFonts w:ascii="Arial"/>
          <w:spacing w:val="-1"/>
          <w:sz w:val="20"/>
          <w:szCs w:val="20"/>
        </w:rPr>
        <w:t xml:space="preserve"> </w:t>
      </w:r>
      <w:r>
        <w:rPr>
          <w:rFonts w:ascii="Arial"/>
          <w:sz w:val="20"/>
          <w:szCs w:val="20"/>
        </w:rPr>
        <w:t>ICAV</w:t>
      </w:r>
      <w:r>
        <w:rPr>
          <w:rFonts w:ascii="Arial"/>
          <w:spacing w:val="-1"/>
          <w:sz w:val="20"/>
          <w:szCs w:val="20"/>
        </w:rPr>
        <w:t xml:space="preserve"> </w:t>
      </w:r>
      <w:r>
        <w:rPr>
          <w:rFonts w:ascii="Arial"/>
          <w:sz w:val="20"/>
          <w:szCs w:val="20"/>
        </w:rPr>
        <w:t>is</w:t>
      </w:r>
      <w:r>
        <w:rPr>
          <w:rFonts w:ascii="Arial"/>
          <w:spacing w:val="-1"/>
          <w:sz w:val="20"/>
          <w:szCs w:val="20"/>
        </w:rPr>
        <w:t xml:space="preserve"> </w:t>
      </w:r>
      <w:r>
        <w:rPr>
          <w:rFonts w:ascii="Arial"/>
          <w:sz w:val="20"/>
          <w:szCs w:val="20"/>
        </w:rPr>
        <w:t>a</w:t>
      </w:r>
      <w:r>
        <w:rPr>
          <w:rFonts w:ascii="Arial"/>
          <w:spacing w:val="-1"/>
          <w:sz w:val="20"/>
          <w:szCs w:val="20"/>
        </w:rPr>
        <w:t xml:space="preserve"> </w:t>
      </w:r>
      <w:r>
        <w:rPr>
          <w:rFonts w:ascii="Arial"/>
          <w:sz w:val="20"/>
          <w:szCs w:val="20"/>
        </w:rPr>
        <w:t>single</w:t>
      </w:r>
      <w:r>
        <w:rPr>
          <w:rFonts w:ascii="Arial"/>
          <w:spacing w:val="-1"/>
          <w:sz w:val="20"/>
          <w:szCs w:val="20"/>
        </w:rPr>
        <w:t xml:space="preserve"> </w:t>
      </w:r>
      <w:r>
        <w:rPr>
          <w:rFonts w:ascii="Arial"/>
          <w:sz w:val="20"/>
          <w:szCs w:val="20"/>
        </w:rPr>
        <w:t>legal entity</w:t>
      </w:r>
      <w:r>
        <w:rPr>
          <w:rFonts w:ascii="Arial"/>
          <w:spacing w:val="-4"/>
          <w:sz w:val="20"/>
          <w:szCs w:val="20"/>
        </w:rPr>
        <w:t xml:space="preserve"> </w:t>
      </w:r>
      <w:r>
        <w:rPr>
          <w:rFonts w:ascii="Arial"/>
          <w:sz w:val="20"/>
          <w:szCs w:val="20"/>
        </w:rPr>
        <w:t>which</w:t>
      </w:r>
      <w:r>
        <w:rPr>
          <w:rFonts w:ascii="Arial"/>
          <w:spacing w:val="-1"/>
          <w:sz w:val="20"/>
          <w:szCs w:val="20"/>
        </w:rPr>
        <w:t xml:space="preserve"> </w:t>
      </w:r>
      <w:r>
        <w:rPr>
          <w:rFonts w:ascii="Arial"/>
          <w:sz w:val="20"/>
          <w:szCs w:val="20"/>
        </w:rPr>
        <w:t>may</w:t>
      </w:r>
      <w:r>
        <w:rPr>
          <w:rFonts w:ascii="Arial"/>
          <w:spacing w:val="-4"/>
          <w:sz w:val="20"/>
          <w:szCs w:val="20"/>
        </w:rPr>
        <w:t xml:space="preserve"> </w:t>
      </w:r>
      <w:r>
        <w:rPr>
          <w:rFonts w:ascii="Arial"/>
          <w:sz w:val="20"/>
          <w:szCs w:val="20"/>
        </w:rPr>
        <w:t>operate</w:t>
      </w:r>
      <w:r>
        <w:rPr>
          <w:rFonts w:ascii="Arial"/>
          <w:spacing w:val="-1"/>
          <w:sz w:val="20"/>
          <w:szCs w:val="20"/>
        </w:rPr>
        <w:t xml:space="preserve"> </w:t>
      </w:r>
      <w:r>
        <w:rPr>
          <w:rFonts w:ascii="Arial"/>
          <w:sz w:val="20"/>
          <w:szCs w:val="20"/>
        </w:rPr>
        <w:t>or</w:t>
      </w:r>
      <w:r>
        <w:rPr>
          <w:rFonts w:ascii="Arial"/>
          <w:spacing w:val="-2"/>
          <w:sz w:val="20"/>
          <w:szCs w:val="20"/>
        </w:rPr>
        <w:t xml:space="preserve"> </w:t>
      </w:r>
      <w:r>
        <w:rPr>
          <w:rFonts w:ascii="Arial"/>
          <w:sz w:val="20"/>
          <w:szCs w:val="20"/>
        </w:rPr>
        <w:t>have</w:t>
      </w:r>
      <w:r>
        <w:rPr>
          <w:rFonts w:ascii="Arial"/>
          <w:spacing w:val="-1"/>
          <w:sz w:val="20"/>
          <w:szCs w:val="20"/>
        </w:rPr>
        <w:t xml:space="preserve"> </w:t>
      </w:r>
      <w:r>
        <w:rPr>
          <w:rFonts w:ascii="Arial"/>
          <w:sz w:val="20"/>
          <w:szCs w:val="20"/>
        </w:rPr>
        <w:t>assets</w:t>
      </w:r>
      <w:r>
        <w:rPr>
          <w:rFonts w:ascii="Arial"/>
          <w:spacing w:val="-1"/>
          <w:sz w:val="20"/>
          <w:szCs w:val="20"/>
        </w:rPr>
        <w:t xml:space="preserve"> </w:t>
      </w:r>
      <w:r>
        <w:rPr>
          <w:rFonts w:ascii="Arial"/>
          <w:sz w:val="20"/>
          <w:szCs w:val="20"/>
        </w:rPr>
        <w:t>held</w:t>
      </w:r>
      <w:r>
        <w:rPr>
          <w:rFonts w:ascii="Arial"/>
          <w:spacing w:val="-1"/>
          <w:sz w:val="20"/>
          <w:szCs w:val="20"/>
        </w:rPr>
        <w:t xml:space="preserve"> </w:t>
      </w:r>
      <w:r>
        <w:rPr>
          <w:rFonts w:ascii="Arial"/>
          <w:sz w:val="20"/>
          <w:szCs w:val="20"/>
        </w:rPr>
        <w:t>on</w:t>
      </w:r>
      <w:r>
        <w:rPr>
          <w:rFonts w:ascii="Arial"/>
          <w:spacing w:val="-1"/>
          <w:sz w:val="20"/>
          <w:szCs w:val="20"/>
        </w:rPr>
        <w:t xml:space="preserve"> </w:t>
      </w:r>
      <w:r>
        <w:rPr>
          <w:rFonts w:ascii="Arial"/>
          <w:sz w:val="20"/>
          <w:szCs w:val="20"/>
        </w:rPr>
        <w:t>its</w:t>
      </w:r>
      <w:r>
        <w:rPr>
          <w:rFonts w:ascii="Arial"/>
          <w:spacing w:val="-1"/>
          <w:sz w:val="20"/>
          <w:szCs w:val="20"/>
        </w:rPr>
        <w:t xml:space="preserve"> </w:t>
      </w:r>
      <w:r>
        <w:rPr>
          <w:rFonts w:ascii="Arial"/>
          <w:sz w:val="20"/>
          <w:szCs w:val="20"/>
        </w:rPr>
        <w:t>behalf or</w:t>
      </w:r>
      <w:r>
        <w:rPr>
          <w:rFonts w:ascii="Arial"/>
          <w:spacing w:val="-2"/>
          <w:sz w:val="20"/>
          <w:szCs w:val="20"/>
        </w:rPr>
        <w:t xml:space="preserve"> </w:t>
      </w:r>
      <w:r>
        <w:rPr>
          <w:rFonts w:ascii="Arial"/>
          <w:sz w:val="20"/>
          <w:szCs w:val="20"/>
        </w:rPr>
        <w:t xml:space="preserve">be subject to claims in other jurisdictions which may not necessarily </w:t>
      </w:r>
      <w:proofErr w:type="spellStart"/>
      <w:r>
        <w:rPr>
          <w:rFonts w:ascii="Arial"/>
          <w:sz w:val="20"/>
          <w:szCs w:val="20"/>
        </w:rPr>
        <w:t>recognise</w:t>
      </w:r>
      <w:proofErr w:type="spellEnd"/>
      <w:r>
        <w:rPr>
          <w:rFonts w:ascii="Arial"/>
          <w:sz w:val="20"/>
          <w:szCs w:val="20"/>
        </w:rPr>
        <w:t xml:space="preserve"> such segregation. There can be no guarantee that the courts of any jurisdiction outside Ireland will respect the limitations on liability as set out above.</w:t>
      </w:r>
    </w:p>
    <w:p w:rsidRPr="00832783" w:rsidR="00BB0FBA" w:rsidP="00BB0FBA" w:rsidRDefault="00BB0FBA" w14:paraId="67E1534E" w14:textId="77777777">
      <w:pPr>
        <w:pStyle w:val="BodyText"/>
        <w:spacing w:before="9"/>
        <w:rPr>
          <w:sz w:val="20"/>
          <w:szCs w:val="20"/>
        </w:rPr>
      </w:pPr>
      <w:bookmarkStart w:name="(b)_As_further_detailed_in_&quot;Appendix_III" w:id="27"/>
      <w:bookmarkEnd w:id="27"/>
    </w:p>
    <w:p w:rsidRPr="00832783" w:rsidR="00BB0FBA" w:rsidP="00BB0FBA" w:rsidRDefault="00B34D16" w14:paraId="4A45D690" w14:textId="77777777">
      <w:pPr>
        <w:pStyle w:val="ListParagraph"/>
        <w:numPr>
          <w:ilvl w:val="0"/>
          <w:numId w:val="10"/>
        </w:numPr>
        <w:tabs>
          <w:tab w:val="left" w:pos="1134"/>
        </w:tabs>
        <w:ind w:left="1134" w:right="518" w:hanging="567"/>
        <w:jc w:val="both"/>
        <w:rPr>
          <w:rFonts w:ascii="Arial" w:hAnsi="Arial"/>
          <w:sz w:val="20"/>
          <w:szCs w:val="20"/>
        </w:rPr>
      </w:pPr>
      <w:bookmarkStart w:name="(c)_Upon_the_occurrence_of_a_Disruption_" w:id="28"/>
      <w:bookmarkEnd w:id="28"/>
      <w:r>
        <w:rPr>
          <w:rFonts w:ascii="Arial" w:hAnsi="Arial"/>
          <w:sz w:val="20"/>
          <w:szCs w:val="20"/>
        </w:rPr>
        <w:t>Upon the occurrence of a Disruption Event (and without limitation to the Directors’ personal powers as further described in the Prospectus); (i) adjustments</w:t>
      </w:r>
      <w:r>
        <w:rPr>
          <w:rFonts w:ascii="Arial" w:hAnsi="Arial"/>
          <w:spacing w:val="-15"/>
          <w:sz w:val="20"/>
          <w:szCs w:val="20"/>
        </w:rPr>
        <w:t xml:space="preserve"> </w:t>
      </w:r>
      <w:r>
        <w:rPr>
          <w:rFonts w:ascii="Arial" w:hAnsi="Arial"/>
          <w:sz w:val="20"/>
          <w:szCs w:val="20"/>
        </w:rPr>
        <w:t>may</w:t>
      </w:r>
      <w:r>
        <w:rPr>
          <w:rFonts w:ascii="Arial" w:hAnsi="Arial"/>
          <w:spacing w:val="-15"/>
          <w:sz w:val="20"/>
          <w:szCs w:val="20"/>
        </w:rPr>
        <w:t xml:space="preserve"> </w:t>
      </w:r>
      <w:r>
        <w:rPr>
          <w:rFonts w:ascii="Arial" w:hAnsi="Arial"/>
          <w:sz w:val="20"/>
          <w:szCs w:val="20"/>
        </w:rPr>
        <w:t>be</w:t>
      </w:r>
      <w:r>
        <w:rPr>
          <w:rFonts w:ascii="Arial" w:hAnsi="Arial"/>
          <w:spacing w:val="-14"/>
          <w:sz w:val="20"/>
          <w:szCs w:val="20"/>
        </w:rPr>
        <w:t xml:space="preserve"> </w:t>
      </w:r>
      <w:r>
        <w:rPr>
          <w:rFonts w:ascii="Arial" w:hAnsi="Arial"/>
          <w:sz w:val="20"/>
          <w:szCs w:val="20"/>
        </w:rPr>
        <w:t>made</w:t>
      </w:r>
      <w:r>
        <w:rPr>
          <w:rFonts w:ascii="Arial" w:hAnsi="Arial"/>
          <w:spacing w:val="-15"/>
          <w:sz w:val="20"/>
          <w:szCs w:val="20"/>
        </w:rPr>
        <w:t xml:space="preserve"> </w:t>
      </w:r>
      <w:r>
        <w:rPr>
          <w:rFonts w:ascii="Arial" w:hAnsi="Arial"/>
          <w:sz w:val="20"/>
          <w:szCs w:val="20"/>
        </w:rPr>
        <w:t>to</w:t>
      </w:r>
      <w:r>
        <w:rPr>
          <w:rFonts w:ascii="Arial" w:hAnsi="Arial"/>
          <w:spacing w:val="-14"/>
          <w:sz w:val="20"/>
          <w:szCs w:val="20"/>
        </w:rPr>
        <w:t xml:space="preserve"> </w:t>
      </w:r>
      <w:r>
        <w:rPr>
          <w:rFonts w:ascii="Arial" w:hAnsi="Arial"/>
          <w:sz w:val="20"/>
          <w:szCs w:val="20"/>
        </w:rPr>
        <w:t>account</w:t>
      </w:r>
      <w:r>
        <w:rPr>
          <w:rFonts w:ascii="Arial" w:hAnsi="Arial"/>
          <w:spacing w:val="-15"/>
          <w:sz w:val="20"/>
          <w:szCs w:val="20"/>
        </w:rPr>
        <w:t xml:space="preserve"> </w:t>
      </w:r>
      <w:r>
        <w:rPr>
          <w:rFonts w:ascii="Arial" w:hAnsi="Arial"/>
          <w:sz w:val="20"/>
          <w:szCs w:val="20"/>
        </w:rPr>
        <w:t>for</w:t>
      </w:r>
      <w:r>
        <w:rPr>
          <w:rFonts w:ascii="Arial" w:hAnsi="Arial"/>
          <w:spacing w:val="-15"/>
          <w:sz w:val="20"/>
          <w:szCs w:val="20"/>
        </w:rPr>
        <w:t xml:space="preserve"> </w:t>
      </w:r>
      <w:r>
        <w:rPr>
          <w:rFonts w:ascii="Arial" w:hAnsi="Arial"/>
          <w:sz w:val="20"/>
          <w:szCs w:val="20"/>
        </w:rPr>
        <w:t>any</w:t>
      </w:r>
      <w:r>
        <w:rPr>
          <w:rFonts w:ascii="Arial" w:hAnsi="Arial"/>
          <w:spacing w:val="-14"/>
          <w:sz w:val="20"/>
          <w:szCs w:val="20"/>
        </w:rPr>
        <w:t xml:space="preserve"> </w:t>
      </w:r>
      <w:r>
        <w:rPr>
          <w:rFonts w:ascii="Arial" w:hAnsi="Arial"/>
          <w:sz w:val="20"/>
          <w:szCs w:val="20"/>
        </w:rPr>
        <w:t>such</w:t>
      </w:r>
      <w:r>
        <w:rPr>
          <w:rFonts w:ascii="Arial" w:hAnsi="Arial"/>
          <w:spacing w:val="-15"/>
          <w:sz w:val="20"/>
          <w:szCs w:val="20"/>
        </w:rPr>
        <w:t xml:space="preserve"> </w:t>
      </w:r>
      <w:r>
        <w:rPr>
          <w:rFonts w:ascii="Arial" w:hAnsi="Arial"/>
          <w:sz w:val="20"/>
          <w:szCs w:val="20"/>
        </w:rPr>
        <w:t>event</w:t>
      </w:r>
      <w:r>
        <w:rPr>
          <w:rFonts w:ascii="Arial" w:hAnsi="Arial"/>
          <w:spacing w:val="-14"/>
          <w:sz w:val="20"/>
          <w:szCs w:val="20"/>
        </w:rPr>
        <w:t xml:space="preserve"> </w:t>
      </w:r>
      <w:r>
        <w:rPr>
          <w:rFonts w:ascii="Arial" w:hAnsi="Arial"/>
          <w:sz w:val="20"/>
          <w:szCs w:val="20"/>
        </w:rPr>
        <w:t xml:space="preserve">which may have a significant impact on the Net Asset Value of the Fund; (ii) the Directors may temporarily suspend the calculation </w:t>
      </w:r>
      <w:r>
        <w:rPr>
          <w:rFonts w:ascii="Arial" w:hAnsi="Arial"/>
          <w:sz w:val="20"/>
          <w:szCs w:val="20"/>
        </w:rPr>
        <w:lastRenderedPageBreak/>
        <w:t>of the Net Asset Value and any subscription, redemption and exchange of Shares and payment of Redemption Proceeds in accordance with the provisions of the Prospectus under the section “Suspension of Calculation of Net Asset Value”; and/or (iii) the Directors may, in certain circumstances as set out in the Prospectus, terminate the Fund.</w:t>
      </w:r>
    </w:p>
    <w:p w:rsidRPr="00832783" w:rsidR="00BB0FBA" w:rsidP="00BB0FBA" w:rsidRDefault="00BB0FBA" w14:paraId="74453C7C" w14:textId="77777777">
      <w:pPr>
        <w:pStyle w:val="BodyText"/>
        <w:spacing w:before="10"/>
        <w:rPr>
          <w:sz w:val="20"/>
          <w:szCs w:val="20"/>
        </w:rPr>
      </w:pPr>
    </w:p>
    <w:p w:rsidRPr="00C00173" w:rsidR="00BB0FBA" w:rsidP="00BB0FBA" w:rsidRDefault="00B34D16" w14:paraId="1F2E49A6" w14:textId="77777777">
      <w:pPr>
        <w:pStyle w:val="ListParagraph"/>
        <w:numPr>
          <w:ilvl w:val="0"/>
          <w:numId w:val="10"/>
        </w:numPr>
        <w:tabs>
          <w:tab w:val="left" w:pos="1134"/>
        </w:tabs>
        <w:ind w:left="1134" w:right="518" w:hanging="567"/>
        <w:jc w:val="both"/>
        <w:rPr>
          <w:rFonts w:ascii="Arial"/>
          <w:sz w:val="20"/>
          <w:szCs w:val="20"/>
        </w:rPr>
      </w:pPr>
      <w:bookmarkStart w:name="(d)_The_value_of_investments_and_the_inc" w:id="29"/>
      <w:bookmarkEnd w:id="29"/>
      <w:r>
        <w:rPr>
          <w:rFonts w:ascii="Arial"/>
          <w:sz w:val="20"/>
          <w:szCs w:val="20"/>
        </w:rPr>
        <w:t>The value of investments and the income from them, and therefore the value of and income from the Shares can go down as well as up and an investor may not get back the amount invested.</w:t>
      </w:r>
      <w:r>
        <w:rPr>
          <w:rFonts w:ascii="Arial"/>
          <w:spacing w:val="-15"/>
          <w:sz w:val="20"/>
          <w:szCs w:val="20"/>
        </w:rPr>
        <w:t xml:space="preserve"> </w:t>
      </w:r>
    </w:p>
    <w:p w:rsidRPr="00C00173" w:rsidR="00C00173" w:rsidP="00C00173" w:rsidRDefault="00C00173" w14:paraId="48CE8D0F" w14:textId="77777777">
      <w:pPr>
        <w:pStyle w:val="ListParagraph"/>
        <w:rPr>
          <w:rFonts w:ascii="Arial"/>
          <w:sz w:val="20"/>
          <w:szCs w:val="20"/>
        </w:rPr>
      </w:pPr>
    </w:p>
    <w:p w:rsidRPr="00C00173" w:rsidR="00C00173" w:rsidP="00B42322" w:rsidRDefault="00B34D16" w14:paraId="540116A5" w14:textId="21B1650F">
      <w:pPr>
        <w:pStyle w:val="ListParagraph"/>
        <w:numPr>
          <w:ilvl w:val="0"/>
          <w:numId w:val="10"/>
        </w:numPr>
        <w:tabs>
          <w:tab w:val="left" w:pos="1134"/>
        </w:tabs>
        <w:ind w:left="1134" w:right="518" w:hanging="567"/>
        <w:jc w:val="both"/>
        <w:rPr>
          <w:rFonts w:ascii="Arial"/>
          <w:sz w:val="20"/>
          <w:szCs w:val="20"/>
        </w:rPr>
      </w:pPr>
      <w:r>
        <w:rPr>
          <w:rFonts w:ascii="Arial"/>
          <w:sz w:val="20"/>
          <w:szCs w:val="20"/>
        </w:rPr>
        <w:t xml:space="preserve">The Fund may gain exposure to commodities indirectly, through investment in </w:t>
      </w:r>
      <w:r w:rsidR="00276F02">
        <w:rPr>
          <w:rFonts w:ascii="Arial"/>
          <w:sz w:val="20"/>
          <w:szCs w:val="20"/>
        </w:rPr>
        <w:t xml:space="preserve">UCITS eligible </w:t>
      </w:r>
      <w:r>
        <w:rPr>
          <w:rFonts w:ascii="Arial"/>
          <w:sz w:val="20"/>
          <w:szCs w:val="20"/>
        </w:rPr>
        <w:t>Exchange Traded Commodities. The prices of commodities are highly volatile. Price movements of commodities are influenced by, among other things, changing supply and demand relationships, domestic and foreign governmental programs and policies, national and international political and economic events, interest rates and governmental monetary and exchange control programs and policies.</w:t>
      </w:r>
    </w:p>
    <w:p w:rsidRPr="00832783" w:rsidR="00BB0FBA" w:rsidP="00BB0FBA" w:rsidRDefault="00BB0FBA" w14:paraId="4DCC2EA9" w14:textId="77777777">
      <w:pPr>
        <w:pStyle w:val="ListParagraph"/>
        <w:tabs>
          <w:tab w:val="left" w:pos="1134"/>
        </w:tabs>
        <w:ind w:left="1134" w:right="518" w:firstLine="0"/>
        <w:jc w:val="both"/>
        <w:rPr>
          <w:rFonts w:ascii="Arial"/>
          <w:sz w:val="20"/>
          <w:szCs w:val="20"/>
        </w:rPr>
      </w:pPr>
    </w:p>
    <w:p w:rsidRPr="00832783" w:rsidR="00BB0FBA" w:rsidP="00BB0FBA" w:rsidRDefault="00B34D16" w14:paraId="2D26DC91" w14:textId="77777777">
      <w:pPr>
        <w:pStyle w:val="BodyText"/>
        <w:ind w:left="567" w:right="523"/>
        <w:jc w:val="both"/>
        <w:rPr>
          <w:sz w:val="20"/>
          <w:szCs w:val="20"/>
        </w:rPr>
      </w:pPr>
      <w:r>
        <w:rPr>
          <w:sz w:val="20"/>
          <w:szCs w:val="20"/>
        </w:rPr>
        <w:t>Investors</w:t>
      </w:r>
      <w:r>
        <w:rPr>
          <w:spacing w:val="-8"/>
          <w:sz w:val="20"/>
          <w:szCs w:val="20"/>
        </w:rPr>
        <w:t xml:space="preserve"> </w:t>
      </w:r>
      <w:r>
        <w:rPr>
          <w:sz w:val="20"/>
          <w:szCs w:val="20"/>
        </w:rPr>
        <w:t>should</w:t>
      </w:r>
      <w:r>
        <w:rPr>
          <w:spacing w:val="-5"/>
          <w:sz w:val="20"/>
          <w:szCs w:val="20"/>
        </w:rPr>
        <w:t xml:space="preserve"> </w:t>
      </w:r>
      <w:r>
        <w:rPr>
          <w:sz w:val="20"/>
          <w:szCs w:val="20"/>
        </w:rPr>
        <w:t>also</w:t>
      </w:r>
      <w:r>
        <w:rPr>
          <w:spacing w:val="-6"/>
          <w:sz w:val="20"/>
          <w:szCs w:val="20"/>
        </w:rPr>
        <w:t xml:space="preserve"> </w:t>
      </w:r>
      <w:r>
        <w:rPr>
          <w:sz w:val="20"/>
          <w:szCs w:val="20"/>
        </w:rPr>
        <w:t>refer</w:t>
      </w:r>
      <w:r>
        <w:rPr>
          <w:spacing w:val="-6"/>
          <w:sz w:val="20"/>
          <w:szCs w:val="20"/>
        </w:rPr>
        <w:t xml:space="preserve"> </w:t>
      </w:r>
      <w:r>
        <w:rPr>
          <w:sz w:val="20"/>
          <w:szCs w:val="20"/>
        </w:rPr>
        <w:t>to</w:t>
      </w:r>
      <w:r>
        <w:rPr>
          <w:spacing w:val="-5"/>
          <w:sz w:val="20"/>
          <w:szCs w:val="20"/>
        </w:rPr>
        <w:t xml:space="preserve"> </w:t>
      </w:r>
      <w:r>
        <w:rPr>
          <w:sz w:val="20"/>
          <w:szCs w:val="20"/>
        </w:rPr>
        <w:t>the</w:t>
      </w:r>
      <w:r>
        <w:rPr>
          <w:spacing w:val="-6"/>
          <w:sz w:val="20"/>
          <w:szCs w:val="20"/>
        </w:rPr>
        <w:t xml:space="preserve"> </w:t>
      </w:r>
      <w:r>
        <w:rPr>
          <w:sz w:val="20"/>
          <w:szCs w:val="20"/>
        </w:rPr>
        <w:t>Prospectus</w:t>
      </w:r>
      <w:r>
        <w:rPr>
          <w:spacing w:val="-5"/>
          <w:sz w:val="20"/>
          <w:szCs w:val="20"/>
        </w:rPr>
        <w:t xml:space="preserve"> </w:t>
      </w:r>
      <w:r>
        <w:rPr>
          <w:sz w:val="20"/>
          <w:szCs w:val="20"/>
        </w:rPr>
        <w:t>for</w:t>
      </w:r>
      <w:r>
        <w:rPr>
          <w:spacing w:val="-6"/>
          <w:sz w:val="20"/>
          <w:szCs w:val="20"/>
        </w:rPr>
        <w:t xml:space="preserve"> </w:t>
      </w:r>
      <w:r>
        <w:rPr>
          <w:sz w:val="20"/>
          <w:szCs w:val="20"/>
        </w:rPr>
        <w:t>additional</w:t>
      </w:r>
      <w:r>
        <w:rPr>
          <w:spacing w:val="-5"/>
          <w:sz w:val="20"/>
          <w:szCs w:val="20"/>
        </w:rPr>
        <w:t xml:space="preserve"> </w:t>
      </w:r>
      <w:r>
        <w:rPr>
          <w:sz w:val="20"/>
          <w:szCs w:val="20"/>
        </w:rPr>
        <w:t>disclosure</w:t>
      </w:r>
      <w:r>
        <w:rPr>
          <w:spacing w:val="-5"/>
          <w:sz w:val="20"/>
          <w:szCs w:val="20"/>
        </w:rPr>
        <w:t xml:space="preserve"> </w:t>
      </w:r>
      <w:r>
        <w:rPr>
          <w:sz w:val="20"/>
          <w:szCs w:val="20"/>
        </w:rPr>
        <w:t>of</w:t>
      </w:r>
      <w:r>
        <w:rPr>
          <w:spacing w:val="-4"/>
          <w:sz w:val="20"/>
          <w:szCs w:val="20"/>
        </w:rPr>
        <w:t xml:space="preserve"> </w:t>
      </w:r>
      <w:r>
        <w:rPr>
          <w:spacing w:val="-2"/>
          <w:sz w:val="20"/>
          <w:szCs w:val="20"/>
        </w:rPr>
        <w:t>risks.</w:t>
      </w:r>
    </w:p>
    <w:p w:rsidRPr="00832783" w:rsidR="00BB0FBA" w:rsidP="00BB0FBA" w:rsidRDefault="00BB0FBA" w14:paraId="46E871FB" w14:textId="77777777">
      <w:pPr>
        <w:rPr>
          <w:sz w:val="20"/>
          <w:szCs w:val="20"/>
        </w:rPr>
      </w:pPr>
    </w:p>
    <w:p w:rsidR="00BB0FBA" w:rsidP="00B42322" w:rsidRDefault="00B34D16" w14:paraId="5E6972B6" w14:textId="77777777">
      <w:pPr>
        <w:pStyle w:val="Heading1"/>
        <w:numPr>
          <w:ilvl w:val="1"/>
          <w:numId w:val="12"/>
        </w:numPr>
        <w:tabs>
          <w:tab w:val="left" w:pos="567"/>
        </w:tabs>
        <w:spacing w:before="0"/>
        <w:ind w:left="853" w:hanging="1224"/>
        <w:jc w:val="both"/>
        <w:rPr>
          <w:sz w:val="20"/>
          <w:szCs w:val="20"/>
        </w:rPr>
      </w:pPr>
      <w:r>
        <w:rPr>
          <w:b w:val="0"/>
          <w:bCs w:val="0"/>
          <w:sz w:val="20"/>
          <w:szCs w:val="20"/>
        </w:rPr>
        <w:t>The Investment Manager</w:t>
      </w:r>
    </w:p>
    <w:p w:rsidRPr="00E6571F" w:rsidR="00BB0FBA" w:rsidP="00BB0FBA" w:rsidRDefault="00BB0FBA" w14:paraId="0E62A9BB" w14:textId="77777777">
      <w:pPr>
        <w:pStyle w:val="Heading1"/>
        <w:tabs>
          <w:tab w:val="left" w:pos="567"/>
        </w:tabs>
        <w:spacing w:before="0"/>
        <w:ind w:left="1224" w:firstLine="0"/>
        <w:jc w:val="both"/>
        <w:rPr>
          <w:b w:val="0"/>
          <w:bCs w:val="0"/>
          <w:sz w:val="20"/>
          <w:szCs w:val="20"/>
        </w:rPr>
      </w:pPr>
    </w:p>
    <w:p w:rsidR="00BB0FBA" w:rsidP="00BB0FBA" w:rsidRDefault="00B34D16" w14:paraId="7A1616D7" w14:textId="77777777">
      <w:pPr>
        <w:pStyle w:val="Heading1"/>
        <w:tabs>
          <w:tab w:val="left" w:pos="567"/>
        </w:tabs>
        <w:spacing w:before="0"/>
        <w:ind w:left="567" w:firstLine="0"/>
        <w:jc w:val="both"/>
        <w:rPr>
          <w:b w:val="0"/>
          <w:bCs w:val="0"/>
          <w:sz w:val="20"/>
          <w:szCs w:val="20"/>
        </w:rPr>
      </w:pPr>
      <w:bookmarkStart w:name="_Hlk161393747" w:id="30"/>
      <w:r>
        <w:rPr>
          <w:b w:val="0"/>
          <w:bCs w:val="0"/>
          <w:sz w:val="20"/>
          <w:szCs w:val="20"/>
        </w:rPr>
        <w:t>The ICAV and the Manager have appointed Leo Capital Corp (Hong Kong) Limited. as investment manager with discretionary powers pursuant to the Investment Management Agreement</w:t>
      </w:r>
      <w:bookmarkEnd w:id="30"/>
      <w:r>
        <w:rPr>
          <w:b w:val="0"/>
          <w:bCs w:val="0"/>
          <w:sz w:val="20"/>
          <w:szCs w:val="20"/>
        </w:rPr>
        <w:t>. Under the terms of the Investment Management Agreement the Investment Manager is responsible, subject to the overall supervision and control of the Directors and the Manager, for managing the assets and investments of the Fund in accordance with the investment objective and policies of the Fund.</w:t>
      </w:r>
    </w:p>
    <w:p w:rsidRPr="00BD6AD7" w:rsidR="00BB0FBA" w:rsidP="00BB0FBA" w:rsidRDefault="00BB0FBA" w14:paraId="3C7720E1" w14:textId="77777777">
      <w:pPr>
        <w:pStyle w:val="Heading1"/>
        <w:tabs>
          <w:tab w:val="left" w:pos="567"/>
        </w:tabs>
        <w:spacing w:before="0"/>
        <w:ind w:left="567" w:firstLine="0"/>
        <w:jc w:val="both"/>
        <w:rPr>
          <w:b w:val="0"/>
          <w:bCs w:val="0"/>
          <w:sz w:val="20"/>
          <w:szCs w:val="20"/>
        </w:rPr>
      </w:pPr>
    </w:p>
    <w:p w:rsidR="00BB0FBA" w:rsidP="00BB0FBA" w:rsidRDefault="00B34D16" w14:paraId="41352B6F" w14:textId="77777777">
      <w:pPr>
        <w:pStyle w:val="Heading1"/>
        <w:tabs>
          <w:tab w:val="left" w:pos="567"/>
        </w:tabs>
        <w:spacing w:before="0"/>
        <w:ind w:left="567" w:firstLine="0"/>
        <w:jc w:val="both"/>
        <w:rPr>
          <w:b w:val="0"/>
          <w:bCs w:val="0"/>
          <w:sz w:val="20"/>
          <w:szCs w:val="20"/>
        </w:rPr>
      </w:pPr>
      <w:r>
        <w:rPr>
          <w:b w:val="0"/>
          <w:bCs w:val="0"/>
          <w:sz w:val="20"/>
          <w:szCs w:val="20"/>
        </w:rPr>
        <w:t xml:space="preserve">The Investment Manager is a private limited company </w:t>
      </w:r>
      <w:proofErr w:type="spellStart"/>
      <w:r>
        <w:rPr>
          <w:b w:val="0"/>
          <w:bCs w:val="0"/>
          <w:sz w:val="20"/>
          <w:szCs w:val="20"/>
        </w:rPr>
        <w:t>organised</w:t>
      </w:r>
      <w:proofErr w:type="spellEnd"/>
      <w:r>
        <w:rPr>
          <w:b w:val="0"/>
          <w:bCs w:val="0"/>
          <w:sz w:val="20"/>
          <w:szCs w:val="20"/>
        </w:rPr>
        <w:t xml:space="preserve"> under the laws of Hong Kong having its registered office at 8/F, On Building, 162 Queen’s Road Central, Hong Kong. The principal activity of the Investment Manager is in providing investment management services. The Investment Manager is authorized and regulated by the Securities and Futures Commission of Hong Kong for Type 4 (advising on securities) and Type 9 (asset management) services. </w:t>
      </w:r>
    </w:p>
    <w:p w:rsidRPr="00BD6AD7" w:rsidR="00BB0FBA" w:rsidP="00BB0FBA" w:rsidRDefault="00BB0FBA" w14:paraId="2FD0170B" w14:textId="77777777">
      <w:pPr>
        <w:pStyle w:val="Heading1"/>
        <w:tabs>
          <w:tab w:val="left" w:pos="567"/>
        </w:tabs>
        <w:spacing w:before="0"/>
        <w:ind w:left="567" w:firstLine="0"/>
        <w:jc w:val="both"/>
        <w:rPr>
          <w:b w:val="0"/>
          <w:bCs w:val="0"/>
          <w:sz w:val="20"/>
          <w:szCs w:val="20"/>
        </w:rPr>
      </w:pPr>
    </w:p>
    <w:p w:rsidR="00BB0FBA" w:rsidP="00BB0FBA" w:rsidRDefault="00B34D16" w14:paraId="5D10D30B" w14:textId="77777777">
      <w:pPr>
        <w:pStyle w:val="Heading1"/>
        <w:tabs>
          <w:tab w:val="left" w:pos="567"/>
        </w:tabs>
        <w:spacing w:before="0"/>
        <w:ind w:left="567" w:firstLine="0"/>
        <w:jc w:val="both"/>
        <w:rPr>
          <w:b w:val="0"/>
          <w:bCs w:val="0"/>
          <w:sz w:val="20"/>
          <w:szCs w:val="20"/>
        </w:rPr>
      </w:pPr>
      <w:r>
        <w:rPr>
          <w:b w:val="0"/>
          <w:bCs w:val="0"/>
          <w:sz w:val="20"/>
          <w:szCs w:val="20"/>
        </w:rPr>
        <w:t>The Investment Manager may delegate the discretionary investment management functions in respect of the assets of the Fund to a sub-investment manager in accordance with the Central Bank Rules. Where a sub-investment manager is appointed but not paid directly out of the assets of the Fund, disclosure of such entity will be provided to the Shareholders on request and details thereof will be disclosed in the ICAV's periodic reports. Where a sub-investment manager is appointed and paid directly out of the assets of the Fund, this will be set out in the Supplement.</w:t>
      </w:r>
    </w:p>
    <w:p w:rsidRPr="00BD6AD7" w:rsidR="00BB0FBA" w:rsidP="00BB0FBA" w:rsidRDefault="00BB0FBA" w14:paraId="697D22DD" w14:textId="77777777">
      <w:pPr>
        <w:pStyle w:val="Heading1"/>
        <w:tabs>
          <w:tab w:val="left" w:pos="567"/>
        </w:tabs>
        <w:spacing w:before="0"/>
        <w:ind w:left="567" w:firstLine="0"/>
        <w:jc w:val="both"/>
        <w:rPr>
          <w:b w:val="0"/>
          <w:bCs w:val="0"/>
          <w:sz w:val="20"/>
          <w:szCs w:val="20"/>
        </w:rPr>
      </w:pPr>
    </w:p>
    <w:p w:rsidRPr="007000CE" w:rsidR="00BB0FBA" w:rsidP="00BB0FBA" w:rsidRDefault="00B34D16" w14:paraId="00AF5846" w14:textId="77777777">
      <w:pPr>
        <w:pStyle w:val="Heading1"/>
        <w:tabs>
          <w:tab w:val="left" w:pos="567"/>
        </w:tabs>
        <w:spacing w:before="0"/>
        <w:ind w:left="567" w:firstLine="0"/>
        <w:jc w:val="both"/>
        <w:rPr>
          <w:b w:val="0"/>
          <w:bCs w:val="0"/>
          <w:sz w:val="20"/>
          <w:szCs w:val="20"/>
        </w:rPr>
      </w:pPr>
      <w:r>
        <w:rPr>
          <w:b w:val="0"/>
          <w:bCs w:val="0"/>
          <w:sz w:val="20"/>
          <w:szCs w:val="20"/>
        </w:rPr>
        <w:t xml:space="preserve">The Investment Manager may also appoint non-discretionary investment advisers, in each case in accordance with the Central Bank Rules. Where such an investment adviser is appointed, the Supplement will be updated accordingly. </w:t>
      </w:r>
    </w:p>
    <w:p w:rsidRPr="006B45CC" w:rsidR="00BB0FBA" w:rsidP="00BB0FBA" w:rsidRDefault="00BB0FBA" w14:paraId="61DA1CB1" w14:textId="77777777">
      <w:pPr>
        <w:pStyle w:val="BodyText"/>
        <w:ind w:right="523"/>
        <w:jc w:val="both"/>
        <w:rPr>
          <w:sz w:val="20"/>
          <w:szCs w:val="20"/>
        </w:rPr>
      </w:pPr>
    </w:p>
    <w:p w:rsidR="00BB0FBA" w:rsidP="00B42322" w:rsidRDefault="00B34D16" w14:paraId="078B930A" w14:textId="77777777">
      <w:pPr>
        <w:pStyle w:val="Heading1"/>
        <w:numPr>
          <w:ilvl w:val="1"/>
          <w:numId w:val="12"/>
        </w:numPr>
        <w:tabs>
          <w:tab w:val="left" w:pos="567"/>
        </w:tabs>
        <w:spacing w:before="0"/>
        <w:ind w:left="853" w:hanging="1224"/>
        <w:jc w:val="both"/>
        <w:rPr>
          <w:sz w:val="20"/>
          <w:szCs w:val="20"/>
        </w:rPr>
      </w:pPr>
      <w:r>
        <w:rPr>
          <w:b w:val="0"/>
          <w:bCs w:val="0"/>
          <w:sz w:val="20"/>
          <w:szCs w:val="20"/>
        </w:rPr>
        <w:t xml:space="preserve">Compulsory Redemption </w:t>
      </w:r>
    </w:p>
    <w:p w:rsidRPr="00E6571F" w:rsidR="00BB0FBA" w:rsidP="00BB0FBA" w:rsidRDefault="00BB0FBA" w14:paraId="10949252" w14:textId="77777777">
      <w:pPr>
        <w:pStyle w:val="Heading1"/>
        <w:tabs>
          <w:tab w:val="left" w:pos="567"/>
        </w:tabs>
        <w:spacing w:before="0"/>
        <w:ind w:left="1224" w:firstLine="0"/>
        <w:jc w:val="both"/>
        <w:rPr>
          <w:b w:val="0"/>
          <w:bCs w:val="0"/>
          <w:sz w:val="20"/>
          <w:szCs w:val="20"/>
        </w:rPr>
      </w:pPr>
    </w:p>
    <w:p w:rsidRPr="00323F10" w:rsidR="00BB0FBA" w:rsidP="00BB0FBA" w:rsidRDefault="00B34D16" w14:paraId="2EBE034C" w14:textId="77777777">
      <w:pPr>
        <w:pStyle w:val="BodyText"/>
        <w:ind w:left="567" w:right="523"/>
        <w:jc w:val="both"/>
        <w:rPr>
          <w:sz w:val="20"/>
          <w:szCs w:val="20"/>
        </w:rPr>
      </w:pPr>
      <w:r>
        <w:rPr>
          <w:sz w:val="20"/>
          <w:szCs w:val="20"/>
        </w:rPr>
        <w:t>In addition to the provisions set out in section 7.4 of the Prospectus entitled “Compulsory Redemption”, the Investment Manager</w:t>
      </w:r>
      <w:r>
        <w:rPr>
          <w:sz w:val="20"/>
          <w:szCs w:val="20"/>
          <w:lang w:val="en-IE"/>
        </w:rPr>
        <w:t xml:space="preserve"> may begin liquidating all or a portion of the Fund’s portfolio through opportunistic sales within a reasonable period prior to the Maturity Date </w:t>
      </w:r>
      <w:proofErr w:type="gramStart"/>
      <w:r>
        <w:rPr>
          <w:sz w:val="20"/>
          <w:szCs w:val="20"/>
          <w:lang w:val="en-IE"/>
        </w:rPr>
        <w:t>taking into account</w:t>
      </w:r>
      <w:proofErr w:type="gramEnd"/>
      <w:r>
        <w:rPr>
          <w:sz w:val="20"/>
          <w:szCs w:val="20"/>
          <w:lang w:val="en-IE"/>
        </w:rPr>
        <w:t xml:space="preserve"> market conditions and other relevant factors (the “wind-down period”). During the wind-down period, the Fund may deviate from its investment strategy by retaining some or </w:t>
      </w:r>
      <w:proofErr w:type="gramStart"/>
      <w:r>
        <w:rPr>
          <w:sz w:val="20"/>
          <w:szCs w:val="20"/>
          <w:lang w:val="en-IE"/>
        </w:rPr>
        <w:t>all of</w:t>
      </w:r>
      <w:proofErr w:type="gramEnd"/>
      <w:r>
        <w:rPr>
          <w:sz w:val="20"/>
          <w:szCs w:val="20"/>
          <w:lang w:val="en-IE"/>
        </w:rPr>
        <w:t xml:space="preserve"> the proceeds of any portfolio sales in </w:t>
      </w:r>
      <w:r>
        <w:rPr>
          <w:sz w:val="20"/>
          <w:szCs w:val="20"/>
        </w:rPr>
        <w:t>ancillary</w:t>
      </w:r>
      <w:r>
        <w:rPr>
          <w:spacing w:val="-5"/>
          <w:sz w:val="20"/>
          <w:szCs w:val="20"/>
        </w:rPr>
        <w:t xml:space="preserve"> </w:t>
      </w:r>
      <w:r>
        <w:rPr>
          <w:sz w:val="20"/>
          <w:szCs w:val="20"/>
        </w:rPr>
        <w:t>liquid</w:t>
      </w:r>
      <w:r>
        <w:rPr>
          <w:spacing w:val="-2"/>
          <w:sz w:val="20"/>
          <w:szCs w:val="20"/>
        </w:rPr>
        <w:t xml:space="preserve"> </w:t>
      </w:r>
      <w:r>
        <w:rPr>
          <w:sz w:val="20"/>
          <w:szCs w:val="20"/>
        </w:rPr>
        <w:t>assets (as further described above)  towards the end of the Fund's life cycle.</w:t>
      </w:r>
    </w:p>
    <w:p w:rsidRPr="00323F10" w:rsidR="00BB0FBA" w:rsidP="00BB0FBA" w:rsidRDefault="00BB0FBA" w14:paraId="4A91343B" w14:textId="77777777"/>
    <w:p w:rsidRPr="00323F10" w:rsidR="00BB0FBA" w:rsidP="00BB0FBA" w:rsidRDefault="00B34D16" w14:paraId="3F8D890F" w14:textId="77777777">
      <w:pPr>
        <w:pStyle w:val="BodyText"/>
        <w:ind w:left="567" w:right="523"/>
        <w:jc w:val="both"/>
        <w:rPr>
          <w:sz w:val="20"/>
          <w:szCs w:val="20"/>
        </w:rPr>
      </w:pPr>
      <w:r>
        <w:rPr>
          <w:sz w:val="20"/>
          <w:szCs w:val="20"/>
        </w:rPr>
        <w:t xml:space="preserve">On the Maturity Date, the Fund will be liquidated and the Shares will be compulsorily redeemed at the Net Asset Value per Share in accordance with section 7.4 of the Prospectus entitled “Compulsory Redemption”. Shareholders may redeem on any Dealing Day prior to the Maturity Date in accordance with the terms of the Prospectus. </w:t>
      </w:r>
    </w:p>
    <w:p w:rsidRPr="00323F10" w:rsidR="00BB0FBA" w:rsidP="00BB0FBA" w:rsidRDefault="00BB0FBA" w14:paraId="33CFE52F" w14:textId="77777777">
      <w:pPr>
        <w:pStyle w:val="BodyText"/>
        <w:ind w:left="567" w:right="523"/>
        <w:jc w:val="both"/>
        <w:rPr>
          <w:sz w:val="20"/>
          <w:szCs w:val="20"/>
        </w:rPr>
      </w:pPr>
    </w:p>
    <w:p w:rsidRPr="00323F10" w:rsidR="00BB0FBA" w:rsidP="00BB0FBA" w:rsidRDefault="00B34D16" w14:paraId="499802A8" w14:textId="77777777">
      <w:pPr>
        <w:pStyle w:val="BodyText"/>
        <w:ind w:left="567" w:right="523"/>
        <w:jc w:val="both"/>
        <w:rPr>
          <w:sz w:val="20"/>
          <w:szCs w:val="20"/>
        </w:rPr>
      </w:pPr>
      <w:r>
        <w:rPr>
          <w:sz w:val="20"/>
          <w:szCs w:val="20"/>
        </w:rPr>
        <w:t>Following the liquidation of the Fund, the Directors may proceed to terminate the Fund in accordance with the requirements of the Central Bank.</w:t>
      </w:r>
    </w:p>
    <w:p w:rsidRPr="00323F10" w:rsidR="00BB0FBA" w:rsidP="00BB0FBA" w:rsidRDefault="00BB0FBA" w14:paraId="67AAC4EA" w14:textId="77777777">
      <w:pPr>
        <w:pStyle w:val="BodyText"/>
        <w:ind w:left="567" w:right="523"/>
        <w:jc w:val="both"/>
        <w:rPr>
          <w:sz w:val="20"/>
          <w:szCs w:val="20"/>
          <w:lang w:val="en-IE"/>
        </w:rPr>
      </w:pPr>
    </w:p>
    <w:p w:rsidR="00BB0FBA" w:rsidP="00BB0FBA" w:rsidRDefault="00BB0FBA" w14:paraId="1D5135B4" w14:textId="77777777">
      <w:pPr>
        <w:rPr>
          <w:sz w:val="20"/>
        </w:rPr>
      </w:pPr>
    </w:p>
    <w:p w:rsidRPr="002D41E2" w:rsidR="00BB0FBA" w:rsidP="00BB0FBA" w:rsidRDefault="00BB0FBA" w14:paraId="4F85F50F" w14:textId="77777777"/>
    <w:sectPr w:rsidRPr="002D41E2" w:rsidR="00BB0FBA">
      <w:headerReference w:type="default" r:id="rId15"/>
      <w:footerReference w:type="default" r:id="rId16"/>
      <w:pgSz w:w="11910" w:h="16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D16" w:rsidRDefault="00B34D16" w14:paraId="5215CE01" w14:textId="77777777">
      <w:r>
        <w:separator/>
      </w:r>
    </w:p>
  </w:endnote>
  <w:endnote w:type="continuationSeparator" w:id="0">
    <w:p w:rsidR="00B34D16" w:rsidRDefault="00B34D16" w14:paraId="0CE838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FBA" w:rsidRDefault="00B34D16" w14:paraId="6498E92C" w14:textId="3EF23A5D">
    <w:pPr>
      <w:pStyle w:val="Footer"/>
    </w:pPr>
    <w:r>
      <w:rPr>
        <w:noProof/>
      </w:rPr>
      <mc:AlternateContent>
        <mc:Choice Requires="wps">
          <w:drawing>
            <wp:anchor distT="0" distB="0" distL="114300" distR="114300" simplePos="0" relativeHeight="251659264" behindDoc="1" locked="0" layoutInCell="1" allowOverlap="1" wp14:editId="5DFE10A9" wp14:anchorId="714ACF42">
              <wp:simplePos x="0" y="0"/>
              <wp:positionH relativeFrom="page">
                <wp:posOffset>245110</wp:posOffset>
              </wp:positionH>
              <wp:positionV relativeFrom="page">
                <wp:posOffset>10168255</wp:posOffset>
              </wp:positionV>
              <wp:extent cx="2133600" cy="340360"/>
              <wp:effectExtent l="0" t="0" r="0" b="2540"/>
              <wp:wrapNone/>
              <wp:docPr id="294407853"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24" w:rsidRDefault="004F7424" w14:paraId="7D8614A5"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4ACF42">
              <v:stroke joinstyle="miter"/>
              <v:path gradientshapeok="t" o:connecttype="rect"/>
            </v:shapetype>
            <v:shape id="docshape1" style="position:absolute;margin-left:19.3pt;margin-top:800.65pt;width:168pt;height:2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">
              <v:textbox inset="0,0,0,0">
                <w:txbxContent>
                  <w:p w:rsidR="004F7424" w:rsidRDefault="004F7424" w14:paraId="7D8614A5" w14:textId="77777777"/>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editId="70D5B980" wp14:anchorId="76D1FCA2">
              <wp:simplePos x="0" y="0"/>
              <wp:positionH relativeFrom="margin">
                <wp:align>left</wp:align>
              </wp:positionH>
              <wp:positionV relativeFrom="paragraph">
                <wp:posOffset>0</wp:posOffset>
              </wp:positionV>
              <wp:extent cx="3116580" cy="255905"/>
              <wp:effectExtent l="0" t="0" r="7620" b="10795"/>
              <wp:wrapNone/>
              <wp:docPr id="1039" name="zzmpTrailer_1078_1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rsidR="004F7424" w:rsidRDefault="004F7424" w14:paraId="6694E4C2"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zzmpTrailer_1078_19" style="position:absolute;margin-left:0;margin-top:0;width:245.4pt;height:20.1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" w14:anchorId="76D1FCA2">
              <v:textbox inset="0,0,0,0">
                <w:txbxContent>
                  <w:p w:rsidR="004F7424" w:rsidRDefault="004F7424" w14:paraId="6694E4C2" w14:textId="77777777"/>
                </w:txbxContent>
              </v:textbox>
              <w10:wrap anchorx="margin"/>
            </v:shape>
          </w:pict>
        </mc:Fallback>
      </mc:AlternateContent>
    </w:r>
    <w:r w:rsidR="00F60399">
      <w:rPr>
        <w:noProof/>
      </w:rPr>
      <w:pict w14:anchorId="022AC03E">
        <v:shapetype id="_x0000_t202" coordsize="21600,21600" o:spt="202" path="m,l,21600r21600,l21600,xe">
          <v:stroke joinstyle="miter"/>
          <v:path gradientshapeok="t" o:connecttype="rect"/>
        </v:shapetype>
        <v:shape id="zzmpTrailer_1078_19" style="position:absolute;margin-left:0;margin-top:0;width:245.4pt;height:20.15pt;z-index:-251589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lt="" o:spid="_x0000_s2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">
          <v:textbox inset="0,0,0,0">
            <w:txbxContent>
              <w:p w:rsidR="00D83916" w:rsidRDefault="00D83916" w14:paraId="3D1DBCA7" w14:textId="54FF44A9">
                <w:pPr>
                  <w:pStyle w:val="MacPacTrailer"/>
                </w:pPr>
                <w:r>
                  <w:t xml:space="preserve">EU_BUSINESS.30376338.16 </w:t>
                </w:r>
              </w:p>
              <w:p w:rsidR="00D83916" w:rsidRDefault="00D83916" w14:paraId="38DB1A01" w14:textId="53730D0B">
                <w:pPr>
                  <w:pStyle w:val="MacPacTrailer"/>
                </w:pPr>
              </w:p>
            </w:txbxContent>
          </v:textbox>
          <w10:wrap anchorx="margin"/>
        </v:shape>
      </w:pict>
    </w:r>
  </w:p>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FBA" w:rsidRDefault="00B34D16" w14:paraId="088DDD3F" w14:textId="4574F46B">
    <w:pPr>
      <w:pStyle w:val="Footer"/>
    </w:pPr>
    <w:r>
      <w:rPr>
        <w:noProof/>
      </w:rPr>
      <mc:AlternateContent>
        <mc:Choice Requires="wps">
          <w:drawing>
            <wp:anchor distT="0" distB="0" distL="114300" distR="114300" simplePos="0" relativeHeight="251665408" behindDoc="1" locked="0" layoutInCell="1" allowOverlap="1" wp14:editId="20306899" wp14:anchorId="2BB02962">
              <wp:simplePos x="0" y="0"/>
              <wp:positionH relativeFrom="margin">
                <wp:posOffset>0</wp:posOffset>
              </wp:positionH>
              <wp:positionV relativeFrom="paragraph">
                <wp:posOffset>0</wp:posOffset>
              </wp:positionV>
              <wp:extent cx="2560320" cy="255905"/>
              <wp:effectExtent l="0" t="0" r="11430" b="10795"/>
              <wp:wrapNone/>
              <wp:docPr id="1040" name="zzmpTrailer_1078_1B"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rsidR="004F7424" w:rsidRDefault="004F7424" w14:paraId="7C4B2330"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BB02962">
              <v:stroke joinstyle="miter"/>
              <v:path gradientshapeok="t" o:connecttype="rect"/>
            </v:shapetype>
            <v:shape id="zzmpTrailer_1078_1B" style="position:absolute;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">
              <v:textbox inset="0,0,0,0">
                <w:txbxContent>
                  <w:p w:rsidR="004F7424" w:rsidRDefault="004F7424" w14:paraId="7C4B2330" w14:textId="77777777"/>
                </w:txbxContent>
              </v:textbox>
              <w10:wrap anchorx="margin"/>
            </v:shape>
          </w:pict>
        </mc:Fallback>
      </mc:AlternateContent>
    </w:r>
    <w:r w:rsidR="00F60399">
      <w:rPr>
        <w:noProof/>
      </w:rPr>
      <w:pict w14:anchorId="19366FB4">
        <v:shapetype id="_x0000_t202" coordsize="21600,21600" o:spt="202" path="m,l,21600r21600,l21600,xe">
          <v:stroke joinstyle="miter"/>
          <v:path gradientshapeok="t" o:connecttype="rect"/>
        </v:shapetype>
        <v:shape id="zzmpTrailer_1078_1B" style="position:absolute;margin-left:0;margin-top:0;width:201.6pt;height:20.15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2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v:textbox inset="0,0,0,0">
            <w:txbxContent>
              <w:p w:rsidR="00D83916" w:rsidRDefault="00D83916" w14:paraId="58681ED0" w14:textId="34B8D675">
                <w:pPr>
                  <w:pStyle w:val="MacPacTrailer"/>
                </w:pPr>
                <w:r>
                  <w:t xml:space="preserve">EU_BUSINESS.30376338.16 </w:t>
                </w:r>
              </w:p>
              <w:p w:rsidR="00D83916" w:rsidRDefault="00D83916" w14:paraId="2D72E3E9" w14:textId="43ED3AFF">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FBA" w:rsidRDefault="00BB0FBA" w14:paraId="2EFE68DA" w14:textId="77777777">
    <w:pPr>
      <w:pStyle w:val="Header1"/>
    </w:pPr>
  </w:p>
</w:ftr>
</file>

<file path=word/footer4.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876955"/>
      <w:docPartObj>
        <w:docPartGallery w:val="Page Numbers (Bottom of Page)"/>
        <w:docPartUnique/>
      </w:docPartObj>
    </w:sdtPr>
    <w:sdtEndPr>
      <w:rPr>
        <w:noProof/>
      </w:rPr>
    </w:sdtEndPr>
    <w:sdtContent>
      <w:p w:rsidR="003E0714" w:rsidRDefault="00B34D16" w14:paraId="19FA2373" w14:textId="46EE7777">
        <w:pPr>
          <w:pStyle w:val="Footer"/>
          <w:jc w:val="center"/>
        </w:pPr>
        <w:r>
          <w:fldChar w:fldCharType="begin"/>
        </w:r>
        <w:r>
          <w:instrText>PAGE   \* MERGEFORMAT</w:instrText>
        </w:r>
        <w:r>
          <w:fldChar w:fldCharType="separate"/>
        </w:r>
        <w:r>
          <w:rPr>
            <w:noProof/>
          </w:rPr>
          <w:t>2</w:t>
        </w:r>
        <w:r>
          <w:rPr>
            <w:noProof/>
          </w:rPr>
          <w:fldChar w:fldCharType="end"/>
        </w:r>
      </w:p>
    </w:sdtContent>
  </w:sdt>
  <w:p w:rsidR="00BB0FBA" w:rsidP="00BF77DC" w:rsidRDefault="00B34D16" w14:paraId="66144CB3" w14:textId="4F12A96A">
    <w:pPr>
      <w:pStyle w:val="Footer"/>
    </w:pPr>
    <w:r>
      <w:rPr>
        <w:noProof/>
      </w:rPr>
      <mc:AlternateContent>
        <mc:Choice Requires="wps">
          <w:drawing>
            <wp:anchor distT="0" distB="0" distL="114300" distR="114300" simplePos="0" relativeHeight="251687936" behindDoc="1" locked="0" layoutInCell="1" allowOverlap="1" wp14:editId="7DEF310A" wp14:anchorId="1F4A3C12">
              <wp:simplePos x="0" y="0"/>
              <wp:positionH relativeFrom="page">
                <wp:posOffset>245110</wp:posOffset>
              </wp:positionH>
              <wp:positionV relativeFrom="page">
                <wp:posOffset>10168255</wp:posOffset>
              </wp:positionV>
              <wp:extent cx="2133600" cy="340360"/>
              <wp:effectExtent l="0" t="0" r="0" b="0"/>
              <wp:wrapNone/>
              <wp:docPr id="1794965528"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29568" o:spid="_x0000_s2054" filled="f" fillcolor="this" stroked="f"/>
          </w:pict>
        </mc:Fallback>
      </mc:AlternateContent>
    </w:r>
    <w:r>
      <w:rPr>
        <w:noProof/>
      </w:rPr>
      <mc:AlternateContent>
        <mc:Choice Requires="wps">
          <w:drawing>
            <wp:anchor distT="0" distB="0" distL="114300" distR="114300" simplePos="0" relativeHeight="251689984" behindDoc="1" locked="0" layoutInCell="1" allowOverlap="1" wp14:editId="19F86583" wp14:anchorId="5C3936CE">
              <wp:simplePos x="0" y="0"/>
              <wp:positionH relativeFrom="margin">
                <wp:align>left</wp:align>
              </wp:positionH>
              <wp:positionV relativeFrom="paragraph">
                <wp:posOffset>0</wp:posOffset>
              </wp:positionV>
              <wp:extent cx="3116580" cy="255905"/>
              <wp:effectExtent l="0" t="0" r="0" b="0"/>
              <wp:wrapNone/>
              <wp:docPr id="938939010"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627520" o:spid="_x0000_s2055" filled="f" fillcolor="this" stroked="f">
              <w10:wrap anchorx="margin"/>
            </v:rect>
          </w:pict>
        </mc:Fallback>
      </mc:AlternateContent>
    </w:r>
  </w:p>
  <w:p w:rsidR="00C90122" w:rsidRDefault="00B34D16" w14:paraId="0738B45D" w14:textId="16C5CD6B">
    <w:r>
      <w:rPr>
        <w:noProof/>
      </w:rPr>
      <mc:AlternateContent>
        <mc:Choice Requires="wps">
          <w:drawing>
            <wp:anchor distT="0" distB="0" distL="114300" distR="114300" simplePos="0" relativeHeight="251716608" behindDoc="1" locked="0" layoutInCell="1" allowOverlap="1" wp14:editId="68573A0E" wp14:anchorId="695B22E9">
              <wp:simplePos x="0" y="0"/>
              <wp:positionH relativeFrom="page">
                <wp:posOffset>245110</wp:posOffset>
              </wp:positionH>
              <wp:positionV relativeFrom="page">
                <wp:posOffset>10168255</wp:posOffset>
              </wp:positionV>
              <wp:extent cx="2133600" cy="340360"/>
              <wp:effectExtent l="0" t="0" r="0" b="0"/>
              <wp:wrapNone/>
              <wp:docPr id="1366941852"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00896" o:spid="_x0000_s2056" filled="f" fillcolor="this" stroked="f"/>
          </w:pict>
        </mc:Fallback>
      </mc:AlternateContent>
    </w:r>
    <w:r>
      <w:rPr>
        <w:noProof/>
      </w:rPr>
      <mc:AlternateContent>
        <mc:Choice Requires="wps">
          <w:drawing>
            <wp:anchor distT="0" distB="0" distL="114300" distR="114300" simplePos="0" relativeHeight="251718656" behindDoc="1" locked="0" layoutInCell="1" allowOverlap="1" wp14:editId="43793FFF" wp14:anchorId="755B1D20">
              <wp:simplePos x="0" y="0"/>
              <wp:positionH relativeFrom="margin">
                <wp:align>left</wp:align>
              </wp:positionH>
              <wp:positionV relativeFrom="paragraph">
                <wp:posOffset>0</wp:posOffset>
              </wp:positionV>
              <wp:extent cx="3116580" cy="255905"/>
              <wp:effectExtent l="0" t="0" r="0" b="0"/>
              <wp:wrapNone/>
              <wp:docPr id="1268562144"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598848" o:spid="_x0000_s2057" filled="f" fillcolor="this" stroked="f">
              <w10:wrap anchorx="margin"/>
            </v:rect>
          </w:pict>
        </mc:Fallback>
      </mc:AlternateContent>
    </w:r>
    <w:r>
      <w:rPr>
        <w:noProof/>
      </w:rPr>
      <mc:AlternateContent>
        <mc:Choice Requires="wps">
          <w:drawing>
            <wp:anchor distT="0" distB="0" distL="114300" distR="114300" simplePos="0" relativeHeight="251720704" behindDoc="1" locked="0" layoutInCell="1" allowOverlap="1" wp14:editId="11708D99" wp14:anchorId="1D98FEB8">
              <wp:simplePos x="0" y="0"/>
              <wp:positionH relativeFrom="page">
                <wp:posOffset>245110</wp:posOffset>
              </wp:positionH>
              <wp:positionV relativeFrom="page">
                <wp:posOffset>10168255</wp:posOffset>
              </wp:positionV>
              <wp:extent cx="2133600" cy="340360"/>
              <wp:effectExtent l="0" t="0" r="0" b="0"/>
              <wp:wrapNone/>
              <wp:docPr id="752973775"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596800" o:spid="_x0000_s2058" filled="f" fillcolor="this" stroked="f"/>
          </w:pict>
        </mc:Fallback>
      </mc:AlternateContent>
    </w:r>
    <w:r>
      <w:rPr>
        <w:noProof/>
      </w:rPr>
      <mc:AlternateContent>
        <mc:Choice Requires="wps">
          <w:drawing>
            <wp:anchor distT="0" distB="0" distL="114300" distR="114300" simplePos="0" relativeHeight="251722752" behindDoc="1" locked="0" layoutInCell="1" allowOverlap="1" wp14:editId="3CA64B66" wp14:anchorId="25F4D544">
              <wp:simplePos x="0" y="0"/>
              <wp:positionH relativeFrom="margin">
                <wp:align>left</wp:align>
              </wp:positionH>
              <wp:positionV relativeFrom="paragraph">
                <wp:posOffset>0</wp:posOffset>
              </wp:positionV>
              <wp:extent cx="3116580" cy="255905"/>
              <wp:effectExtent l="0" t="0" r="0" b="0"/>
              <wp:wrapNone/>
              <wp:docPr id="1472709596"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594752" o:spid="_x0000_s2059" filled="f" fillcolor="this" stroked="f">
              <w10:wrap anchorx="margin"/>
            </v:rect>
          </w:pict>
        </mc:Fallback>
      </mc:AlternateContent>
    </w:r>
    <w:r>
      <w:rPr>
        <w:noProof/>
      </w:rPr>
      <mc:AlternateContent>
        <mc:Choice Requires="wps">
          <w:drawing>
            <wp:anchor distT="0" distB="0" distL="114300" distR="114300" simplePos="0" relativeHeight="251724800" behindDoc="1" locked="0" layoutInCell="1" allowOverlap="1" wp14:editId="799A28EA" wp14:anchorId="52A75CA6">
              <wp:simplePos x="0" y="0"/>
              <wp:positionH relativeFrom="margin">
                <wp:align>left</wp:align>
              </wp:positionH>
              <wp:positionV relativeFrom="paragraph">
                <wp:posOffset>0</wp:posOffset>
              </wp:positionV>
              <wp:extent cx="3116580" cy="255905"/>
              <wp:effectExtent l="0" t="0" r="7620" b="10795"/>
              <wp:wrapNone/>
              <wp:docPr id="2"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592704" o:spid="_x0000_s2060" filled="f" fillcolor="this" stroked="f">
              <w10:wrap anchorx="margin"/>
            </v:rect>
          </w:pict>
        </mc:Fallback>
      </mc:AlternateContent>
    </w:r>
    <w:r>
      <w:rPr>
        <w:noProof/>
      </w:rPr>
      <mc:AlternateContent>
        <mc:Choice Requires="wps">
          <w:drawing>
            <wp:anchor distT="0" distB="0" distL="114300" distR="114300" simplePos="0" relativeHeight="251692032" behindDoc="1" locked="0" layoutInCell="1" allowOverlap="1" wp14:editId="3CCE1EF4" wp14:anchorId="2A208654">
              <wp:simplePos x="0" y="0"/>
              <wp:positionH relativeFrom="page">
                <wp:posOffset>245110</wp:posOffset>
              </wp:positionH>
              <wp:positionV relativeFrom="page">
                <wp:posOffset>10168255</wp:posOffset>
              </wp:positionV>
              <wp:extent cx="2133600" cy="340360"/>
              <wp:effectExtent l="0" t="0" r="0" b="0"/>
              <wp:wrapNone/>
              <wp:docPr id="820507907"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25472" o:spid="_x0000_s2061" filled="f" fillcolor="this" stroked="f"/>
          </w:pict>
        </mc:Fallback>
      </mc:AlternateContent>
    </w:r>
    <w:r>
      <w:rPr>
        <w:noProof/>
      </w:rPr>
      <mc:AlternateContent>
        <mc:Choice Requires="wps">
          <w:drawing>
            <wp:anchor distT="0" distB="0" distL="114300" distR="114300" simplePos="0" relativeHeight="251694080" behindDoc="1" locked="0" layoutInCell="1" allowOverlap="1" wp14:editId="1F2BE073" wp14:anchorId="4A8659B2">
              <wp:simplePos x="0" y="0"/>
              <wp:positionH relativeFrom="margin">
                <wp:align>left</wp:align>
              </wp:positionH>
              <wp:positionV relativeFrom="paragraph">
                <wp:posOffset>0</wp:posOffset>
              </wp:positionV>
              <wp:extent cx="3116580" cy="255905"/>
              <wp:effectExtent l="0" t="0" r="0" b="0"/>
              <wp:wrapNone/>
              <wp:docPr id="1440681641"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623424" o:spid="_x0000_s2062" filled="f" fillcolor="this" stroked="f">
              <w10:wrap anchorx="margin"/>
            </v:rect>
          </w:pict>
        </mc:Fallback>
      </mc:AlternateContent>
    </w:r>
    <w:r>
      <w:rPr>
        <w:noProof/>
      </w:rPr>
      <mc:AlternateContent>
        <mc:Choice Requires="wps">
          <w:drawing>
            <wp:anchor distT="0" distB="0" distL="114300" distR="114300" simplePos="0" relativeHeight="251696128" behindDoc="1" locked="0" layoutInCell="1" allowOverlap="1" wp14:editId="68B86EF1" wp14:anchorId="714E6CFF">
              <wp:simplePos x="0" y="0"/>
              <wp:positionH relativeFrom="page">
                <wp:posOffset>245110</wp:posOffset>
              </wp:positionH>
              <wp:positionV relativeFrom="page">
                <wp:posOffset>10168255</wp:posOffset>
              </wp:positionV>
              <wp:extent cx="2133600" cy="340360"/>
              <wp:effectExtent l="0" t="0" r="0" b="0"/>
              <wp:wrapNone/>
              <wp:docPr id="1242132311"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21376" o:spid="_x0000_s2063" filled="f" fillcolor="this" stroked="f"/>
          </w:pict>
        </mc:Fallback>
      </mc:AlternateContent>
    </w:r>
    <w:r>
      <w:rPr>
        <w:noProof/>
      </w:rPr>
      <mc:AlternateContent>
        <mc:Choice Requires="wps">
          <w:drawing>
            <wp:anchor distT="0" distB="0" distL="114300" distR="114300" simplePos="0" relativeHeight="251698176" behindDoc="1" locked="0" layoutInCell="1" allowOverlap="1" wp14:editId="368DD03D" wp14:anchorId="0684FA95">
              <wp:simplePos x="0" y="0"/>
              <wp:positionH relativeFrom="margin">
                <wp:align>left</wp:align>
              </wp:positionH>
              <wp:positionV relativeFrom="paragraph">
                <wp:posOffset>0</wp:posOffset>
              </wp:positionV>
              <wp:extent cx="3116580" cy="255905"/>
              <wp:effectExtent l="0" t="0" r="0" b="0"/>
              <wp:wrapNone/>
              <wp:docPr id="327163547"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619328" o:spid="_x0000_s2064" filled="f" fillcolor="this" stroked="f">
              <w10:wrap anchorx="margin"/>
            </v:rect>
          </w:pict>
        </mc:Fallback>
      </mc:AlternateContent>
    </w:r>
    <w:r>
      <w:rPr>
        <w:noProof/>
      </w:rPr>
      <mc:AlternateContent>
        <mc:Choice Requires="wps">
          <w:drawing>
            <wp:anchor distT="0" distB="0" distL="114300" distR="114300" simplePos="0" relativeHeight="251700224" behindDoc="1" locked="0" layoutInCell="1" allowOverlap="1" wp14:editId="6E1F223D" wp14:anchorId="797A9125">
              <wp:simplePos x="0" y="0"/>
              <wp:positionH relativeFrom="page">
                <wp:posOffset>245110</wp:posOffset>
              </wp:positionH>
              <wp:positionV relativeFrom="page">
                <wp:posOffset>10168255</wp:posOffset>
              </wp:positionV>
              <wp:extent cx="2133600" cy="340360"/>
              <wp:effectExtent l="0" t="0" r="0" b="0"/>
              <wp:wrapNone/>
              <wp:docPr id="319163408"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17280" o:spid="_x0000_s2065" filled="f" fillcolor="this" stroked="f"/>
          </w:pict>
        </mc:Fallback>
      </mc:AlternateContent>
    </w:r>
    <w:r>
      <w:rPr>
        <w:noProof/>
      </w:rPr>
      <mc:AlternateContent>
        <mc:Choice Requires="wps">
          <w:drawing>
            <wp:anchor distT="0" distB="0" distL="114300" distR="114300" simplePos="0" relativeHeight="251702272" behindDoc="1" locked="0" layoutInCell="1" allowOverlap="1" wp14:editId="09072A32" wp14:anchorId="3B716A48">
              <wp:simplePos x="0" y="0"/>
              <wp:positionH relativeFrom="margin">
                <wp:align>left</wp:align>
              </wp:positionH>
              <wp:positionV relativeFrom="paragraph">
                <wp:posOffset>0</wp:posOffset>
              </wp:positionV>
              <wp:extent cx="3116580" cy="255905"/>
              <wp:effectExtent l="0" t="0" r="0" b="0"/>
              <wp:wrapNone/>
              <wp:docPr id="275119807"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615232" o:spid="_x0000_s2066" filled="f" fillcolor="this" stroked="f">
              <w10:wrap anchorx="margin"/>
            </v:rect>
          </w:pict>
        </mc:Fallback>
      </mc:AlternateContent>
    </w:r>
    <w:r>
      <w:rPr>
        <w:noProof/>
      </w:rPr>
      <mc:AlternateContent>
        <mc:Choice Requires="wps">
          <w:drawing>
            <wp:anchor distT="0" distB="0" distL="114300" distR="114300" simplePos="0" relativeHeight="251704320" behindDoc="1" locked="0" layoutInCell="1" allowOverlap="1" wp14:editId="2726CEF8" wp14:anchorId="72EA7210">
              <wp:simplePos x="0" y="0"/>
              <wp:positionH relativeFrom="page">
                <wp:posOffset>245110</wp:posOffset>
              </wp:positionH>
              <wp:positionV relativeFrom="page">
                <wp:posOffset>10168255</wp:posOffset>
              </wp:positionV>
              <wp:extent cx="2133600" cy="340360"/>
              <wp:effectExtent l="0" t="0" r="0" b="0"/>
              <wp:wrapNone/>
              <wp:docPr id="726985682"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13184" o:spid="_x0000_s2067" filled="f" fillcolor="this" stroked="f"/>
          </w:pict>
        </mc:Fallback>
      </mc:AlternateContent>
    </w:r>
    <w:r>
      <w:rPr>
        <w:noProof/>
      </w:rPr>
      <mc:AlternateContent>
        <mc:Choice Requires="wps">
          <w:drawing>
            <wp:anchor distT="0" distB="0" distL="114300" distR="114300" simplePos="0" relativeHeight="251706368" behindDoc="1" locked="0" layoutInCell="1" allowOverlap="1" wp14:editId="7A05E96A" wp14:anchorId="16DEBD03">
              <wp:simplePos x="0" y="0"/>
              <wp:positionH relativeFrom="margin">
                <wp:align>left</wp:align>
              </wp:positionH>
              <wp:positionV relativeFrom="paragraph">
                <wp:posOffset>0</wp:posOffset>
              </wp:positionV>
              <wp:extent cx="3116580" cy="255905"/>
              <wp:effectExtent l="0" t="0" r="0" b="0"/>
              <wp:wrapNone/>
              <wp:docPr id="514769889"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611136" o:spid="_x0000_s2068" filled="f" fillcolor="this" stroked="f">
              <w10:wrap anchorx="margin"/>
            </v:rect>
          </w:pict>
        </mc:Fallback>
      </mc:AlternateContent>
    </w:r>
    <w:r>
      <w:rPr>
        <w:noProof/>
      </w:rPr>
      <mc:AlternateContent>
        <mc:Choice Requires="wps">
          <w:drawing>
            <wp:anchor distT="0" distB="0" distL="114300" distR="114300" simplePos="0" relativeHeight="251708416" behindDoc="1" locked="0" layoutInCell="1" allowOverlap="1" wp14:editId="3DB64713" wp14:anchorId="4FD872BB">
              <wp:simplePos x="0" y="0"/>
              <wp:positionH relativeFrom="page">
                <wp:posOffset>245110</wp:posOffset>
              </wp:positionH>
              <wp:positionV relativeFrom="page">
                <wp:posOffset>10168255</wp:posOffset>
              </wp:positionV>
              <wp:extent cx="2133600" cy="340360"/>
              <wp:effectExtent l="0" t="0" r="0" b="0"/>
              <wp:wrapNone/>
              <wp:docPr id="118745326"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09088" o:spid="_x0000_s2069" filled="f" fillcolor="this" stroked="f"/>
          </w:pict>
        </mc:Fallback>
      </mc:AlternateContent>
    </w:r>
    <w:r>
      <w:rPr>
        <w:noProof/>
      </w:rPr>
      <mc:AlternateContent>
        <mc:Choice Requires="wps">
          <w:drawing>
            <wp:anchor distT="0" distB="0" distL="114300" distR="114300" simplePos="0" relativeHeight="251710464" behindDoc="1" locked="0" layoutInCell="1" allowOverlap="1" wp14:editId="453EC345" wp14:anchorId="14D18743">
              <wp:simplePos x="0" y="0"/>
              <wp:positionH relativeFrom="margin">
                <wp:align>left</wp:align>
              </wp:positionH>
              <wp:positionV relativeFrom="paragraph">
                <wp:posOffset>0</wp:posOffset>
              </wp:positionV>
              <wp:extent cx="3116580" cy="255905"/>
              <wp:effectExtent l="0" t="0" r="0" b="0"/>
              <wp:wrapNone/>
              <wp:docPr id="358229831"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607040" o:spid="_x0000_s2070" filled="f" fillcolor="this" stroked="f">
              <w10:wrap anchorx="margin"/>
            </v:rect>
          </w:pict>
        </mc:Fallback>
      </mc:AlternateContent>
    </w:r>
    <w:r>
      <w:rPr>
        <w:noProof/>
      </w:rPr>
      <mc:AlternateContent>
        <mc:Choice Requires="wps">
          <w:drawing>
            <wp:anchor distT="0" distB="0" distL="114300" distR="114300" simplePos="0" relativeHeight="251712512" behindDoc="1" locked="0" layoutInCell="1" allowOverlap="1" wp14:editId="16F6EA11" wp14:anchorId="13D6152C">
              <wp:simplePos x="0" y="0"/>
              <wp:positionH relativeFrom="page">
                <wp:posOffset>245110</wp:posOffset>
              </wp:positionH>
              <wp:positionV relativeFrom="page">
                <wp:posOffset>10168255</wp:posOffset>
              </wp:positionV>
              <wp:extent cx="2133600" cy="340360"/>
              <wp:effectExtent l="0" t="0" r="0" b="0"/>
              <wp:wrapNone/>
              <wp:docPr id="1588586814"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04992" o:spid="_x0000_s2071" filled="f" fillcolor="this" stroked="f"/>
          </w:pict>
        </mc:Fallback>
      </mc:AlternateContent>
    </w:r>
    <w:r>
      <w:rPr>
        <w:noProof/>
      </w:rPr>
      <mc:AlternateContent>
        <mc:Choice Requires="wps">
          <w:drawing>
            <wp:anchor distT="0" distB="0" distL="114300" distR="114300" simplePos="0" relativeHeight="251714560" behindDoc="1" locked="0" layoutInCell="1" allowOverlap="1" wp14:editId="1B841706" wp14:anchorId="197E40AE">
              <wp:simplePos x="0" y="0"/>
              <wp:positionH relativeFrom="margin">
                <wp:align>left</wp:align>
              </wp:positionH>
              <wp:positionV relativeFrom="paragraph">
                <wp:posOffset>0</wp:posOffset>
              </wp:positionV>
              <wp:extent cx="3116580" cy="255905"/>
              <wp:effectExtent l="0" t="0" r="0" b="0"/>
              <wp:wrapNone/>
              <wp:docPr id="1275411747"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602944" o:spid="_x0000_s2072" filled="f" fillcolor="this" stroked="f">
              <w10:wrap anchorx="margin"/>
            </v:rect>
          </w:pict>
        </mc:Fallback>
      </mc:AlternateContent>
    </w:r>
    <w:r>
      <w:rPr>
        <w:noProof/>
      </w:rPr>
      <mc:AlternateContent>
        <mc:Choice Requires="wps">
          <w:drawing>
            <wp:anchor distT="0" distB="0" distL="114300" distR="114300" simplePos="0" relativeHeight="251669504" behindDoc="1" locked="0" layoutInCell="1" allowOverlap="1" wp14:editId="3EB3E93A" wp14:anchorId="3574036B">
              <wp:simplePos x="0" y="0"/>
              <wp:positionH relativeFrom="page">
                <wp:posOffset>245110</wp:posOffset>
              </wp:positionH>
              <wp:positionV relativeFrom="page">
                <wp:posOffset>10168255</wp:posOffset>
              </wp:positionV>
              <wp:extent cx="2133600" cy="340360"/>
              <wp:effectExtent l="0" t="0" r="0" b="0"/>
              <wp:wrapNone/>
              <wp:docPr id="1048602"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48000" o:spid="_x0000_s2073" filled="f" fillcolor="this" stroked="f"/>
          </w:pict>
        </mc:Fallback>
      </mc:AlternateContent>
    </w:r>
    <w:r>
      <w:rPr>
        <w:noProof/>
      </w:rPr>
      <mc:AlternateContent>
        <mc:Choice Requires="wps">
          <w:drawing>
            <wp:anchor distT="0" distB="0" distL="114300" distR="114300" simplePos="0" relativeHeight="251677696" behindDoc="1" locked="0" layoutInCell="1" allowOverlap="1" wp14:editId="08C5FAD4" wp14:anchorId="1707293E">
              <wp:simplePos x="0" y="0"/>
              <wp:positionH relativeFrom="page">
                <wp:posOffset>245110</wp:posOffset>
              </wp:positionH>
              <wp:positionV relativeFrom="page">
                <wp:posOffset>10168255</wp:posOffset>
              </wp:positionV>
              <wp:extent cx="2133600" cy="340360"/>
              <wp:effectExtent l="0" t="0" r="0" b="0"/>
              <wp:wrapNone/>
              <wp:docPr id="1048604"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39808" o:spid="_x0000_s2074" filled="f" fillcolor="this" stroked="f"/>
          </w:pict>
        </mc:Fallback>
      </mc:AlternateContent>
    </w:r>
    <w:r>
      <w:rPr>
        <w:noProof/>
      </w:rPr>
      <mc:AlternateContent>
        <mc:Choice Requires="wps">
          <w:drawing>
            <wp:anchor distT="0" distB="0" distL="114300" distR="114300" simplePos="0" relativeHeight="251679744" behindDoc="1" locked="0" layoutInCell="1" allowOverlap="1" wp14:editId="2A42511B" wp14:anchorId="2E345F8C">
              <wp:simplePos x="0" y="0"/>
              <wp:positionH relativeFrom="page">
                <wp:posOffset>245110</wp:posOffset>
              </wp:positionH>
              <wp:positionV relativeFrom="page">
                <wp:posOffset>10168255</wp:posOffset>
              </wp:positionV>
              <wp:extent cx="2133600" cy="340360"/>
              <wp:effectExtent l="0" t="0" r="0" b="0"/>
              <wp:wrapNone/>
              <wp:docPr id="1048607"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37760" o:spid="_x0000_s2075" filled="f" fillcolor="this" stroked="f"/>
          </w:pict>
        </mc:Fallback>
      </mc:AlternateContent>
    </w:r>
    <w:r>
      <w:rPr>
        <w:noProof/>
      </w:rPr>
      <mc:AlternateContent>
        <mc:Choice Requires="wps">
          <w:drawing>
            <wp:anchor distT="0" distB="0" distL="114300" distR="114300" simplePos="0" relativeHeight="251681792" behindDoc="1" locked="0" layoutInCell="1" allowOverlap="1" wp14:editId="0403290B" wp14:anchorId="4D2E4B14">
              <wp:simplePos x="0" y="0"/>
              <wp:positionH relativeFrom="page">
                <wp:posOffset>245110</wp:posOffset>
              </wp:positionH>
              <wp:positionV relativeFrom="page">
                <wp:posOffset>10168255</wp:posOffset>
              </wp:positionV>
              <wp:extent cx="2133600" cy="340360"/>
              <wp:effectExtent l="0" t="0" r="0" b="0"/>
              <wp:wrapNone/>
              <wp:docPr id="1048609"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35712" o:spid="_x0000_s2076" filled="f" fillcolor="this" stroked="f"/>
          </w:pict>
        </mc:Fallback>
      </mc:AlternateContent>
    </w:r>
    <w:r>
      <w:rPr>
        <w:noProof/>
      </w:rPr>
      <mc:AlternateContent>
        <mc:Choice Requires="wps">
          <w:drawing>
            <wp:anchor distT="0" distB="0" distL="114300" distR="114300" simplePos="0" relativeHeight="251683840" behindDoc="1" locked="0" layoutInCell="1" allowOverlap="1" wp14:editId="225CE45D" wp14:anchorId="084A3842">
              <wp:simplePos x="0" y="0"/>
              <wp:positionH relativeFrom="page">
                <wp:posOffset>245110</wp:posOffset>
              </wp:positionH>
              <wp:positionV relativeFrom="page">
                <wp:posOffset>10168255</wp:posOffset>
              </wp:positionV>
              <wp:extent cx="2133600" cy="340360"/>
              <wp:effectExtent l="0" t="0" r="0" b="0"/>
              <wp:wrapNone/>
              <wp:docPr id="1048611" name="docshape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1" style="width:168pt;height:26.8pt;margin-top:800.6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33664" o:spid="_x0000_s2077" filled="f" fillcolor="this" stroked="f"/>
          </w:pict>
        </mc:Fallback>
      </mc:AlternateContent>
    </w:r>
    <w:r>
      <w:rPr>
        <w:noProof/>
      </w:rPr>
      <mc:AlternateContent>
        <mc:Choice Requires="wps">
          <w:drawing>
            <wp:anchor distT="0" distB="0" distL="114300" distR="114300" simplePos="0" relativeHeight="251685888" behindDoc="1" locked="0" layoutInCell="1" allowOverlap="1" wp14:editId="186BFB23" wp14:anchorId="60B199F3">
              <wp:simplePos x="0" y="0"/>
              <wp:positionH relativeFrom="margin">
                <wp:align>left</wp:align>
              </wp:positionH>
              <wp:positionV relativeFrom="paragraph">
                <wp:posOffset>0</wp:posOffset>
              </wp:positionV>
              <wp:extent cx="3116580" cy="255905"/>
              <wp:effectExtent l="0" t="0" r="7620" b="10795"/>
              <wp:wrapNone/>
              <wp:docPr id="1048613"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29" style="width:245.4pt;height:20.15pt;margin-top:0;margin-left:0;mso-height-percent:0;mso-height-relative:page;mso-position-horizontal:left;mso-position-horizontal-relative:margin;mso-width-percent:0;mso-width-relative:page;mso-wrap-distance-bottom:0;mso-wrap-distance-left:9pt;mso-wrap-distance-right:9pt;mso-wrap-distance-top:0;position:absolute;v-text-anchor:top;z-index:-251631616" o:spid="_x0000_s2078" filled="f" fillcolor="this" stroked="f">
              <w10:wrap anchorx="margin"/>
            </v:rect>
          </w:pict>
        </mc:Fallback>
      </mc:AlternateContent>
    </w:r>
    <w:r>
      <w:rPr>
        <w:noProof/>
      </w:rPr>
      <mc:AlternateContent>
        <mc:Choice Requires="wps">
          <w:drawing>
            <wp:anchor distT="0" distB="0" distL="114300" distR="114300" simplePos="0" relativeHeight="251663360" behindDoc="1" locked="0" layoutInCell="1" allowOverlap="1" wp14:editId="460EF5CA" wp14:anchorId="018E2ADC">
              <wp:simplePos x="0" y="0"/>
              <wp:positionH relativeFrom="page">
                <wp:posOffset>3799205</wp:posOffset>
              </wp:positionH>
              <wp:positionV relativeFrom="page">
                <wp:posOffset>10131425</wp:posOffset>
              </wp:positionV>
              <wp:extent cx="238760" cy="175260"/>
              <wp:effectExtent l="0" t="0" r="0" b="0"/>
              <wp:wrapNone/>
              <wp:docPr id="1048615" name="docshape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2" style="width:18.8pt;height:13.8pt;margin-top:797.75pt;margin-left:299.15pt;mso-height-percent:0;mso-height-relative:page;mso-position-horizontal-relative:page;mso-position-vertical-relative:page;mso-width-percent:0;mso-width-relative:page;mso-wrap-distance-bottom:0;mso-wrap-distance-left:9pt;mso-wrap-distance-right:9pt;mso-wrap-distance-top:0;position:absolute;v-text-anchor:top;z-index:-251654144" o:spid="_x0000_s2079" filled="f" fillcolor="this" stroked="f"/>
          </w:pict>
        </mc:Fallback>
      </mc:AlternateContent>
    </w:r>
    <w:r>
      <w:rPr>
        <w:noProof/>
      </w:rPr>
      <mc:AlternateContent>
        <mc:Choice Requires="wps">
          <w:drawing>
            <wp:anchor distT="0" distB="0" distL="114300" distR="114300" simplePos="0" relativeHeight="251667456" behindDoc="1" locked="0" layoutInCell="1" allowOverlap="1" wp14:editId="38B99F2E" wp14:anchorId="46F8253E">
              <wp:simplePos x="0" y="0"/>
              <wp:positionH relativeFrom="page">
                <wp:posOffset>245110</wp:posOffset>
              </wp:positionH>
              <wp:positionV relativeFrom="page">
                <wp:posOffset>10160635</wp:posOffset>
              </wp:positionV>
              <wp:extent cx="2133600" cy="347980"/>
              <wp:effectExtent l="0" t="0" r="0" b="0"/>
              <wp:wrapNone/>
              <wp:docPr id="1048617" name="docshape3"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docshape3" style="width:168pt;height:27.4pt;margin-top:800.05pt;margin-left:19.3pt;mso-height-percent:0;mso-height-relative:page;mso-position-horizontal-relative:page;mso-position-vertical-relative:page;mso-width-percent:0;mso-width-relative:page;mso-wrap-distance-bottom:0;mso-wrap-distance-left:9pt;mso-wrap-distance-right:9pt;mso-wrap-distance-top:0;position:absolute;v-text-anchor:top;z-index:-251650048" o:spid="_x0000_s2080" filled="f" fillcolor="this" stroked="f"/>
          </w:pict>
        </mc:Fallback>
      </mc:AlternateContent>
    </w:r>
  </w:p>
</w:ftr>
</file>

<file path=word/footer5.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FBA" w:rsidRDefault="00B34D16" w14:paraId="2EE16D1E" w14:textId="77777777">
    <w:pPr>
      <w:pStyle w:val="Header1"/>
    </w:pPr>
    <w:r>
      <w:rPr>
        <w:noProof/>
      </w:rPr>
      <mc:AlternateContent>
        <mc:Choice Requires="wps">
          <w:drawing>
            <wp:anchor distT="0" distB="0" distL="114300" distR="114300" simplePos="0" relativeHeight="251671552" behindDoc="1" locked="0" layoutInCell="1" allowOverlap="1" wp14:editId="123BAB93" wp14:anchorId="441C7184">
              <wp:simplePos x="0" y="0"/>
              <wp:positionH relativeFrom="margin">
                <wp:posOffset>0</wp:posOffset>
              </wp:positionH>
              <wp:positionV relativeFrom="paragraph">
                <wp:posOffset>0</wp:posOffset>
              </wp:positionV>
              <wp:extent cx="2560320" cy="255905"/>
              <wp:effectExtent l="0" t="0" r="0" b="0"/>
              <wp:wrapNone/>
              <wp:docPr id="1048605" name="zzmpTrailer_1078_1B"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zzmpTrailer_1078_1B" style="width:201.6pt;height:20.15pt;margin-top:0;margin-left:0;mso-height-percent:0;mso-height-relative:page;mso-position-horizontal-relative:margin;mso-width-percent:0;mso-width-relative:page;mso-wrap-distance-bottom:0;mso-wrap-distance-left:9pt;mso-wrap-distance-right:9pt;mso-wrap-distance-top:0;position:absolute;v-text-anchor:top;z-index:-251645952" o:spid="_x0000_s2081" filled="f" fillcolor="this" stroked="f">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91901"/>
      <w:docPartObj>
        <w:docPartGallery w:val="Page Numbers (Bottom of Page)"/>
        <w:docPartUnique/>
      </w:docPartObj>
    </w:sdtPr>
    <w:sdtEndPr>
      <w:rPr>
        <w:noProof/>
      </w:rPr>
    </w:sdtEndPr>
    <w:sdtContent>
      <w:p w:rsidR="00696A24" w:rsidRDefault="00696A24" w14:paraId="023C7A5B" w14:textId="210437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E13CA" w:rsidRDefault="00DE13CA" w14:paraId="419B9049"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D16" w:rsidRDefault="00B34D16" w14:paraId="03622570" w14:textId="77777777">
      <w:r>
        <w:separator/>
      </w:r>
    </w:p>
  </w:footnote>
  <w:footnote w:type="continuationSeparator" w:id="0">
    <w:p w:rsidR="00B34D16" w:rsidRDefault="00B34D16" w14:paraId="648A32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FBA" w:rsidRDefault="00BB0FBA" w14:paraId="11F25B7F" w14:textId="77777777">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FBA" w:rsidRDefault="00BB0FBA" w14:paraId="140584CC" w14:textId="77777777">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FBA" w:rsidRDefault="00BB0FBA" w14:paraId="37C59DCA" w14:textId="77777777">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3CA" w:rsidRDefault="00DE13CA" w14:paraId="2A344BE9" w14:textId="7777777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4619"/>
    <w:multiLevelType w:val="hybridMultilevel"/>
    <w:tmpl w:val="E4983394"/>
    <w:lvl w:ilvl="0" w:tplc="237EF844">
      <w:numFmt w:val="bullet"/>
      <w:lvlText w:val="•"/>
      <w:lvlJc w:val="left"/>
      <w:pPr>
        <w:ind w:left="3479" w:hanging="360"/>
      </w:pPr>
      <w:rPr>
        <w:rFonts w:ascii="Courier New" w:eastAsia="Courier New" w:hAnsi="Courier New" w:cs="Courier New" w:hint="default"/>
        <w:b w:val="0"/>
        <w:bCs w:val="0"/>
        <w:i w:val="0"/>
        <w:iCs w:val="0"/>
        <w:w w:val="100"/>
        <w:sz w:val="20"/>
        <w:szCs w:val="20"/>
        <w:lang w:val="en-US" w:eastAsia="en-US" w:bidi="ar-SA"/>
      </w:rPr>
    </w:lvl>
    <w:lvl w:ilvl="1" w:tplc="158E46D8">
      <w:numFmt w:val="bullet"/>
      <w:lvlText w:val="•"/>
      <w:lvlJc w:val="left"/>
      <w:pPr>
        <w:ind w:left="4252" w:hanging="360"/>
      </w:pPr>
      <w:rPr>
        <w:rFonts w:hint="default"/>
        <w:lang w:val="en-US" w:eastAsia="en-US" w:bidi="ar-SA"/>
      </w:rPr>
    </w:lvl>
    <w:lvl w:ilvl="2" w:tplc="34C035A0">
      <w:numFmt w:val="bullet"/>
      <w:lvlText w:val="•"/>
      <w:lvlJc w:val="left"/>
      <w:pPr>
        <w:ind w:left="5025" w:hanging="360"/>
      </w:pPr>
      <w:rPr>
        <w:rFonts w:hint="default"/>
        <w:lang w:val="en-US" w:eastAsia="en-US" w:bidi="ar-SA"/>
      </w:rPr>
    </w:lvl>
    <w:lvl w:ilvl="3" w:tplc="96D86432">
      <w:numFmt w:val="bullet"/>
      <w:lvlText w:val="•"/>
      <w:lvlJc w:val="left"/>
      <w:pPr>
        <w:ind w:left="5797" w:hanging="360"/>
      </w:pPr>
      <w:rPr>
        <w:rFonts w:hint="default"/>
        <w:lang w:val="en-US" w:eastAsia="en-US" w:bidi="ar-SA"/>
      </w:rPr>
    </w:lvl>
    <w:lvl w:ilvl="4" w:tplc="40963564">
      <w:numFmt w:val="bullet"/>
      <w:lvlText w:val="•"/>
      <w:lvlJc w:val="left"/>
      <w:pPr>
        <w:ind w:left="6570" w:hanging="360"/>
      </w:pPr>
      <w:rPr>
        <w:rFonts w:hint="default"/>
        <w:lang w:val="en-US" w:eastAsia="en-US" w:bidi="ar-SA"/>
      </w:rPr>
    </w:lvl>
    <w:lvl w:ilvl="5" w:tplc="AC326796">
      <w:numFmt w:val="bullet"/>
      <w:lvlText w:val="•"/>
      <w:lvlJc w:val="left"/>
      <w:pPr>
        <w:ind w:left="7342" w:hanging="360"/>
      </w:pPr>
      <w:rPr>
        <w:rFonts w:hint="default"/>
        <w:lang w:val="en-US" w:eastAsia="en-US" w:bidi="ar-SA"/>
      </w:rPr>
    </w:lvl>
    <w:lvl w:ilvl="6" w:tplc="3B28C0C8">
      <w:numFmt w:val="bullet"/>
      <w:lvlText w:val="•"/>
      <w:lvlJc w:val="left"/>
      <w:pPr>
        <w:ind w:left="8115" w:hanging="360"/>
      </w:pPr>
      <w:rPr>
        <w:rFonts w:hint="default"/>
        <w:lang w:val="en-US" w:eastAsia="en-US" w:bidi="ar-SA"/>
      </w:rPr>
    </w:lvl>
    <w:lvl w:ilvl="7" w:tplc="2CFAD12A">
      <w:numFmt w:val="bullet"/>
      <w:lvlText w:val="•"/>
      <w:lvlJc w:val="left"/>
      <w:pPr>
        <w:ind w:left="8887" w:hanging="360"/>
      </w:pPr>
      <w:rPr>
        <w:rFonts w:hint="default"/>
        <w:lang w:val="en-US" w:eastAsia="en-US" w:bidi="ar-SA"/>
      </w:rPr>
    </w:lvl>
    <w:lvl w:ilvl="8" w:tplc="E1E0DDA4">
      <w:numFmt w:val="bullet"/>
      <w:lvlText w:val="•"/>
      <w:lvlJc w:val="left"/>
      <w:pPr>
        <w:ind w:left="9660" w:hanging="360"/>
      </w:pPr>
      <w:rPr>
        <w:rFonts w:hint="default"/>
        <w:lang w:val="en-US" w:eastAsia="en-US" w:bidi="ar-SA"/>
      </w:rPr>
    </w:lvl>
  </w:abstractNum>
  <w:abstractNum w:abstractNumId="1" w15:restartNumberingAfterBreak="0">
    <w:nsid w:val="194D51E2"/>
    <w:multiLevelType w:val="hybridMultilevel"/>
    <w:tmpl w:val="4858D66A"/>
    <w:lvl w:ilvl="0" w:tplc="C1CEA0F6">
      <w:start w:val="1"/>
      <w:numFmt w:val="bullet"/>
      <w:lvlText w:val=""/>
      <w:lvlJc w:val="left"/>
      <w:pPr>
        <w:ind w:left="1943" w:hanging="360"/>
      </w:pPr>
      <w:rPr>
        <w:rFonts w:ascii="Wingdings" w:hAnsi="Wingdings" w:hint="default"/>
      </w:rPr>
    </w:lvl>
    <w:lvl w:ilvl="1" w:tplc="855ECF30">
      <w:start w:val="1"/>
      <w:numFmt w:val="bullet"/>
      <w:lvlText w:val="o"/>
      <w:lvlJc w:val="left"/>
      <w:pPr>
        <w:ind w:left="2663" w:hanging="360"/>
      </w:pPr>
      <w:rPr>
        <w:rFonts w:ascii="Courier New" w:hAnsi="Courier New" w:cs="Courier New" w:hint="default"/>
      </w:rPr>
    </w:lvl>
    <w:lvl w:ilvl="2" w:tplc="0E0ADB44" w:tentative="1">
      <w:start w:val="1"/>
      <w:numFmt w:val="bullet"/>
      <w:lvlText w:val=""/>
      <w:lvlJc w:val="left"/>
      <w:pPr>
        <w:ind w:left="3383" w:hanging="360"/>
      </w:pPr>
      <w:rPr>
        <w:rFonts w:ascii="Wingdings" w:hAnsi="Wingdings" w:hint="default"/>
      </w:rPr>
    </w:lvl>
    <w:lvl w:ilvl="3" w:tplc="6AB07476" w:tentative="1">
      <w:start w:val="1"/>
      <w:numFmt w:val="bullet"/>
      <w:lvlText w:val=""/>
      <w:lvlJc w:val="left"/>
      <w:pPr>
        <w:ind w:left="4103" w:hanging="360"/>
      </w:pPr>
      <w:rPr>
        <w:rFonts w:ascii="Symbol" w:hAnsi="Symbol" w:hint="default"/>
      </w:rPr>
    </w:lvl>
    <w:lvl w:ilvl="4" w:tplc="59023A9C" w:tentative="1">
      <w:start w:val="1"/>
      <w:numFmt w:val="bullet"/>
      <w:lvlText w:val="o"/>
      <w:lvlJc w:val="left"/>
      <w:pPr>
        <w:ind w:left="4823" w:hanging="360"/>
      </w:pPr>
      <w:rPr>
        <w:rFonts w:ascii="Courier New" w:hAnsi="Courier New" w:cs="Courier New" w:hint="default"/>
      </w:rPr>
    </w:lvl>
    <w:lvl w:ilvl="5" w:tplc="045818D6" w:tentative="1">
      <w:start w:val="1"/>
      <w:numFmt w:val="bullet"/>
      <w:lvlText w:val=""/>
      <w:lvlJc w:val="left"/>
      <w:pPr>
        <w:ind w:left="5543" w:hanging="360"/>
      </w:pPr>
      <w:rPr>
        <w:rFonts w:ascii="Wingdings" w:hAnsi="Wingdings" w:hint="default"/>
      </w:rPr>
    </w:lvl>
    <w:lvl w:ilvl="6" w:tplc="0E063D98" w:tentative="1">
      <w:start w:val="1"/>
      <w:numFmt w:val="bullet"/>
      <w:lvlText w:val=""/>
      <w:lvlJc w:val="left"/>
      <w:pPr>
        <w:ind w:left="6263" w:hanging="360"/>
      </w:pPr>
      <w:rPr>
        <w:rFonts w:ascii="Symbol" w:hAnsi="Symbol" w:hint="default"/>
      </w:rPr>
    </w:lvl>
    <w:lvl w:ilvl="7" w:tplc="6AB8B266" w:tentative="1">
      <w:start w:val="1"/>
      <w:numFmt w:val="bullet"/>
      <w:lvlText w:val="o"/>
      <w:lvlJc w:val="left"/>
      <w:pPr>
        <w:ind w:left="6983" w:hanging="360"/>
      </w:pPr>
      <w:rPr>
        <w:rFonts w:ascii="Courier New" w:hAnsi="Courier New" w:cs="Courier New" w:hint="default"/>
      </w:rPr>
    </w:lvl>
    <w:lvl w:ilvl="8" w:tplc="64986FAE" w:tentative="1">
      <w:start w:val="1"/>
      <w:numFmt w:val="bullet"/>
      <w:lvlText w:val=""/>
      <w:lvlJc w:val="left"/>
      <w:pPr>
        <w:ind w:left="7703" w:hanging="360"/>
      </w:pPr>
      <w:rPr>
        <w:rFonts w:ascii="Wingdings" w:hAnsi="Wingdings" w:hint="default"/>
      </w:rPr>
    </w:lvl>
  </w:abstractNum>
  <w:abstractNum w:abstractNumId="2" w15:restartNumberingAfterBreak="0">
    <w:nsid w:val="1A9E5C84"/>
    <w:multiLevelType w:val="hybridMultilevel"/>
    <w:tmpl w:val="40EE76B0"/>
    <w:lvl w:ilvl="0" w:tplc="A010279E">
      <w:start w:val="1"/>
      <w:numFmt w:val="lowerRoman"/>
      <w:lvlText w:val="(%1)"/>
      <w:lvlJc w:val="left"/>
      <w:pPr>
        <w:ind w:left="2679" w:hanging="735"/>
      </w:pPr>
      <w:rPr>
        <w:rFonts w:hint="default"/>
      </w:rPr>
    </w:lvl>
    <w:lvl w:ilvl="1" w:tplc="6562F3AC" w:tentative="1">
      <w:start w:val="1"/>
      <w:numFmt w:val="lowerLetter"/>
      <w:lvlText w:val="%2."/>
      <w:lvlJc w:val="left"/>
      <w:pPr>
        <w:ind w:left="3024" w:hanging="360"/>
      </w:pPr>
    </w:lvl>
    <w:lvl w:ilvl="2" w:tplc="8E921CE4" w:tentative="1">
      <w:start w:val="1"/>
      <w:numFmt w:val="lowerRoman"/>
      <w:lvlText w:val="%3."/>
      <w:lvlJc w:val="right"/>
      <w:pPr>
        <w:ind w:left="3744" w:hanging="180"/>
      </w:pPr>
    </w:lvl>
    <w:lvl w:ilvl="3" w:tplc="D958C1D6" w:tentative="1">
      <w:start w:val="1"/>
      <w:numFmt w:val="decimal"/>
      <w:lvlText w:val="%4."/>
      <w:lvlJc w:val="left"/>
      <w:pPr>
        <w:ind w:left="4464" w:hanging="360"/>
      </w:pPr>
    </w:lvl>
    <w:lvl w:ilvl="4" w:tplc="EAC89E86" w:tentative="1">
      <w:start w:val="1"/>
      <w:numFmt w:val="lowerLetter"/>
      <w:lvlText w:val="%5."/>
      <w:lvlJc w:val="left"/>
      <w:pPr>
        <w:ind w:left="5184" w:hanging="360"/>
      </w:pPr>
    </w:lvl>
    <w:lvl w:ilvl="5" w:tplc="1E7A7A5C" w:tentative="1">
      <w:start w:val="1"/>
      <w:numFmt w:val="lowerRoman"/>
      <w:lvlText w:val="%6."/>
      <w:lvlJc w:val="right"/>
      <w:pPr>
        <w:ind w:left="5904" w:hanging="180"/>
      </w:pPr>
    </w:lvl>
    <w:lvl w:ilvl="6" w:tplc="9806CBB8" w:tentative="1">
      <w:start w:val="1"/>
      <w:numFmt w:val="decimal"/>
      <w:lvlText w:val="%7."/>
      <w:lvlJc w:val="left"/>
      <w:pPr>
        <w:ind w:left="6624" w:hanging="360"/>
      </w:pPr>
    </w:lvl>
    <w:lvl w:ilvl="7" w:tplc="11984716" w:tentative="1">
      <w:start w:val="1"/>
      <w:numFmt w:val="lowerLetter"/>
      <w:lvlText w:val="%8."/>
      <w:lvlJc w:val="left"/>
      <w:pPr>
        <w:ind w:left="7344" w:hanging="360"/>
      </w:pPr>
    </w:lvl>
    <w:lvl w:ilvl="8" w:tplc="7F486F84" w:tentative="1">
      <w:start w:val="1"/>
      <w:numFmt w:val="lowerRoman"/>
      <w:lvlText w:val="%9."/>
      <w:lvlJc w:val="right"/>
      <w:pPr>
        <w:ind w:left="8064" w:hanging="180"/>
      </w:pPr>
    </w:lvl>
  </w:abstractNum>
  <w:abstractNum w:abstractNumId="3" w15:restartNumberingAfterBreak="0">
    <w:nsid w:val="1C131F52"/>
    <w:multiLevelType w:val="hybridMultilevel"/>
    <w:tmpl w:val="00000000"/>
    <w:lvl w:ilvl="0" w:tplc="CE7C031E">
      <w:start w:val="1"/>
      <w:numFmt w:val="bullet"/>
      <w:lvlText w:val=""/>
      <w:lvlJc w:val="left"/>
      <w:pPr>
        <w:ind w:left="1287" w:hanging="360"/>
      </w:pPr>
      <w:rPr>
        <w:rFonts w:ascii="Symbol" w:hAnsi="Symbol" w:hint="default"/>
      </w:rPr>
    </w:lvl>
    <w:lvl w:ilvl="1" w:tplc="D5A22DBA" w:tentative="1">
      <w:start w:val="1"/>
      <w:numFmt w:val="bullet"/>
      <w:lvlText w:val="o"/>
      <w:lvlJc w:val="left"/>
      <w:pPr>
        <w:ind w:left="2007" w:hanging="360"/>
      </w:pPr>
      <w:rPr>
        <w:rFonts w:ascii="Courier New" w:hAnsi="Courier New" w:cs="Courier New" w:hint="default"/>
      </w:rPr>
    </w:lvl>
    <w:lvl w:ilvl="2" w:tplc="8E96A0DE" w:tentative="1">
      <w:start w:val="1"/>
      <w:numFmt w:val="bullet"/>
      <w:lvlText w:val=""/>
      <w:lvlJc w:val="left"/>
      <w:pPr>
        <w:ind w:left="2727" w:hanging="360"/>
      </w:pPr>
      <w:rPr>
        <w:rFonts w:ascii="Wingdings" w:hAnsi="Wingdings" w:hint="default"/>
      </w:rPr>
    </w:lvl>
    <w:lvl w:ilvl="3" w:tplc="F24AB500" w:tentative="1">
      <w:start w:val="1"/>
      <w:numFmt w:val="bullet"/>
      <w:lvlText w:val=""/>
      <w:lvlJc w:val="left"/>
      <w:pPr>
        <w:ind w:left="3447" w:hanging="360"/>
      </w:pPr>
      <w:rPr>
        <w:rFonts w:ascii="Symbol" w:hAnsi="Symbol" w:hint="default"/>
      </w:rPr>
    </w:lvl>
    <w:lvl w:ilvl="4" w:tplc="43DA94EC" w:tentative="1">
      <w:start w:val="1"/>
      <w:numFmt w:val="bullet"/>
      <w:lvlText w:val="o"/>
      <w:lvlJc w:val="left"/>
      <w:pPr>
        <w:ind w:left="4167" w:hanging="360"/>
      </w:pPr>
      <w:rPr>
        <w:rFonts w:ascii="Courier New" w:hAnsi="Courier New" w:cs="Courier New" w:hint="default"/>
      </w:rPr>
    </w:lvl>
    <w:lvl w:ilvl="5" w:tplc="99222614" w:tentative="1">
      <w:start w:val="1"/>
      <w:numFmt w:val="bullet"/>
      <w:lvlText w:val=""/>
      <w:lvlJc w:val="left"/>
      <w:pPr>
        <w:ind w:left="4887" w:hanging="360"/>
      </w:pPr>
      <w:rPr>
        <w:rFonts w:ascii="Wingdings" w:hAnsi="Wingdings" w:hint="default"/>
      </w:rPr>
    </w:lvl>
    <w:lvl w:ilvl="6" w:tplc="295CFEFE" w:tentative="1">
      <w:start w:val="1"/>
      <w:numFmt w:val="bullet"/>
      <w:lvlText w:val=""/>
      <w:lvlJc w:val="left"/>
      <w:pPr>
        <w:ind w:left="5607" w:hanging="360"/>
      </w:pPr>
      <w:rPr>
        <w:rFonts w:ascii="Symbol" w:hAnsi="Symbol" w:hint="default"/>
      </w:rPr>
    </w:lvl>
    <w:lvl w:ilvl="7" w:tplc="FF9A8472" w:tentative="1">
      <w:start w:val="1"/>
      <w:numFmt w:val="bullet"/>
      <w:lvlText w:val="o"/>
      <w:lvlJc w:val="left"/>
      <w:pPr>
        <w:ind w:left="6327" w:hanging="360"/>
      </w:pPr>
      <w:rPr>
        <w:rFonts w:ascii="Courier New" w:hAnsi="Courier New" w:cs="Courier New" w:hint="default"/>
      </w:rPr>
    </w:lvl>
    <w:lvl w:ilvl="8" w:tplc="9F98F14E" w:tentative="1">
      <w:start w:val="1"/>
      <w:numFmt w:val="bullet"/>
      <w:lvlText w:val=""/>
      <w:lvlJc w:val="left"/>
      <w:pPr>
        <w:ind w:left="7047" w:hanging="360"/>
      </w:pPr>
      <w:rPr>
        <w:rFonts w:ascii="Wingdings" w:hAnsi="Wingdings" w:hint="default"/>
      </w:rPr>
    </w:lvl>
  </w:abstractNum>
  <w:abstractNum w:abstractNumId="4" w15:restartNumberingAfterBreak="0">
    <w:nsid w:val="1C131F61"/>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3"/>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5" w15:restartNumberingAfterBreak="0">
    <w:nsid w:val="1C131F62"/>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9"/>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6" w15:restartNumberingAfterBreak="0">
    <w:nsid w:val="1D175D44"/>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3"/>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7" w15:restartNumberingAfterBreak="0">
    <w:nsid w:val="1D175D54"/>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5"/>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8" w15:restartNumberingAfterBreak="0">
    <w:nsid w:val="1D175D55"/>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6"/>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9" w15:restartNumberingAfterBreak="0">
    <w:nsid w:val="1D175D56"/>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7"/>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10" w15:restartNumberingAfterBreak="0">
    <w:nsid w:val="1D175D57"/>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9"/>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11" w15:restartNumberingAfterBreak="0">
    <w:nsid w:val="1D175D58"/>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10"/>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12" w15:restartNumberingAfterBreak="0">
    <w:nsid w:val="1D175D59"/>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12"/>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13" w15:restartNumberingAfterBreak="0">
    <w:nsid w:val="1D175D5A"/>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13"/>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14" w15:restartNumberingAfterBreak="0">
    <w:nsid w:val="1D175D5B"/>
    <w:multiLevelType w:val="multilevel"/>
    <w:tmpl w:val="00000000"/>
    <w:lvl w:ilvl="0">
      <w:start w:val="2"/>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14"/>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15" w15:restartNumberingAfterBreak="0">
    <w:nsid w:val="1FB64581"/>
    <w:multiLevelType w:val="hybridMultilevel"/>
    <w:tmpl w:val="40FA33C0"/>
    <w:lvl w:ilvl="0" w:tplc="3D462DD0">
      <w:numFmt w:val="bullet"/>
      <w:lvlText w:val=""/>
      <w:lvlJc w:val="left"/>
      <w:pPr>
        <w:ind w:left="867" w:hanging="434"/>
      </w:pPr>
      <w:rPr>
        <w:rFonts w:ascii="Wingdings" w:eastAsia="Wingdings" w:hAnsi="Wingdings" w:cs="Wingdings" w:hint="default"/>
        <w:b w:val="0"/>
        <w:bCs w:val="0"/>
        <w:i w:val="0"/>
        <w:iCs w:val="0"/>
        <w:w w:val="100"/>
        <w:position w:val="2"/>
        <w:sz w:val="20"/>
        <w:szCs w:val="20"/>
        <w:lang w:val="en-US" w:eastAsia="en-US" w:bidi="ar-SA"/>
      </w:rPr>
    </w:lvl>
    <w:lvl w:ilvl="1" w:tplc="F42850A2">
      <w:numFmt w:val="bullet"/>
      <w:lvlText w:val="•"/>
      <w:lvlJc w:val="left"/>
      <w:pPr>
        <w:ind w:left="1238" w:hanging="434"/>
      </w:pPr>
      <w:rPr>
        <w:rFonts w:hint="default"/>
        <w:lang w:val="en-US" w:eastAsia="en-US" w:bidi="ar-SA"/>
      </w:rPr>
    </w:lvl>
    <w:lvl w:ilvl="2" w:tplc="AE9E583C">
      <w:numFmt w:val="bullet"/>
      <w:lvlText w:val="•"/>
      <w:lvlJc w:val="left"/>
      <w:pPr>
        <w:ind w:left="1616" w:hanging="434"/>
      </w:pPr>
      <w:rPr>
        <w:rFonts w:hint="default"/>
        <w:lang w:val="en-US" w:eastAsia="en-US" w:bidi="ar-SA"/>
      </w:rPr>
    </w:lvl>
    <w:lvl w:ilvl="3" w:tplc="5CD27238">
      <w:numFmt w:val="bullet"/>
      <w:lvlText w:val="•"/>
      <w:lvlJc w:val="left"/>
      <w:pPr>
        <w:ind w:left="1994" w:hanging="434"/>
      </w:pPr>
      <w:rPr>
        <w:rFonts w:hint="default"/>
        <w:lang w:val="en-US" w:eastAsia="en-US" w:bidi="ar-SA"/>
      </w:rPr>
    </w:lvl>
    <w:lvl w:ilvl="4" w:tplc="4DAACB7C">
      <w:numFmt w:val="bullet"/>
      <w:lvlText w:val="•"/>
      <w:lvlJc w:val="left"/>
      <w:pPr>
        <w:ind w:left="2372" w:hanging="434"/>
      </w:pPr>
      <w:rPr>
        <w:rFonts w:hint="default"/>
        <w:lang w:val="en-US" w:eastAsia="en-US" w:bidi="ar-SA"/>
      </w:rPr>
    </w:lvl>
    <w:lvl w:ilvl="5" w:tplc="DB247B14">
      <w:numFmt w:val="bullet"/>
      <w:lvlText w:val="•"/>
      <w:lvlJc w:val="left"/>
      <w:pPr>
        <w:ind w:left="2751" w:hanging="434"/>
      </w:pPr>
      <w:rPr>
        <w:rFonts w:hint="default"/>
        <w:lang w:val="en-US" w:eastAsia="en-US" w:bidi="ar-SA"/>
      </w:rPr>
    </w:lvl>
    <w:lvl w:ilvl="6" w:tplc="4FBA2044">
      <w:numFmt w:val="bullet"/>
      <w:lvlText w:val="•"/>
      <w:lvlJc w:val="left"/>
      <w:pPr>
        <w:ind w:left="3129" w:hanging="434"/>
      </w:pPr>
      <w:rPr>
        <w:rFonts w:hint="default"/>
        <w:lang w:val="en-US" w:eastAsia="en-US" w:bidi="ar-SA"/>
      </w:rPr>
    </w:lvl>
    <w:lvl w:ilvl="7" w:tplc="2E4A4EF0">
      <w:numFmt w:val="bullet"/>
      <w:lvlText w:val="•"/>
      <w:lvlJc w:val="left"/>
      <w:pPr>
        <w:ind w:left="3507" w:hanging="434"/>
      </w:pPr>
      <w:rPr>
        <w:rFonts w:hint="default"/>
        <w:lang w:val="en-US" w:eastAsia="en-US" w:bidi="ar-SA"/>
      </w:rPr>
    </w:lvl>
    <w:lvl w:ilvl="8" w:tplc="CDFE4052">
      <w:numFmt w:val="bullet"/>
      <w:lvlText w:val="•"/>
      <w:lvlJc w:val="left"/>
      <w:pPr>
        <w:ind w:left="3885" w:hanging="434"/>
      </w:pPr>
      <w:rPr>
        <w:rFonts w:hint="default"/>
        <w:lang w:val="en-US" w:eastAsia="en-US" w:bidi="ar-SA"/>
      </w:rPr>
    </w:lvl>
  </w:abstractNum>
  <w:abstractNum w:abstractNumId="16" w15:restartNumberingAfterBreak="0">
    <w:nsid w:val="2A4D073F"/>
    <w:multiLevelType w:val="hybridMultilevel"/>
    <w:tmpl w:val="6DC48004"/>
    <w:lvl w:ilvl="0" w:tplc="722C7A42">
      <w:start w:val="1"/>
      <w:numFmt w:val="lowerRoman"/>
      <w:lvlText w:val="%1)"/>
      <w:lvlJc w:val="right"/>
      <w:pPr>
        <w:ind w:left="1020" w:hanging="360"/>
      </w:pPr>
    </w:lvl>
    <w:lvl w:ilvl="1" w:tplc="DD664F0A">
      <w:start w:val="1"/>
      <w:numFmt w:val="lowerRoman"/>
      <w:lvlText w:val="%2)"/>
      <w:lvlJc w:val="right"/>
      <w:pPr>
        <w:ind w:left="1020" w:hanging="360"/>
      </w:pPr>
    </w:lvl>
    <w:lvl w:ilvl="2" w:tplc="B6B6F45C">
      <w:start w:val="1"/>
      <w:numFmt w:val="lowerRoman"/>
      <w:lvlText w:val="%3)"/>
      <w:lvlJc w:val="right"/>
      <w:pPr>
        <w:ind w:left="1020" w:hanging="360"/>
      </w:pPr>
    </w:lvl>
    <w:lvl w:ilvl="3" w:tplc="374258A0">
      <w:start w:val="1"/>
      <w:numFmt w:val="lowerRoman"/>
      <w:lvlText w:val="%4)"/>
      <w:lvlJc w:val="right"/>
      <w:pPr>
        <w:ind w:left="1020" w:hanging="360"/>
      </w:pPr>
    </w:lvl>
    <w:lvl w:ilvl="4" w:tplc="63762E6C">
      <w:start w:val="1"/>
      <w:numFmt w:val="lowerRoman"/>
      <w:lvlText w:val="%5)"/>
      <w:lvlJc w:val="right"/>
      <w:pPr>
        <w:ind w:left="1020" w:hanging="360"/>
      </w:pPr>
    </w:lvl>
    <w:lvl w:ilvl="5" w:tplc="4C2A5F52">
      <w:start w:val="1"/>
      <w:numFmt w:val="lowerRoman"/>
      <w:lvlText w:val="%6)"/>
      <w:lvlJc w:val="right"/>
      <w:pPr>
        <w:ind w:left="1020" w:hanging="360"/>
      </w:pPr>
    </w:lvl>
    <w:lvl w:ilvl="6" w:tplc="3EFA7A78">
      <w:start w:val="1"/>
      <w:numFmt w:val="lowerRoman"/>
      <w:lvlText w:val="%7)"/>
      <w:lvlJc w:val="right"/>
      <w:pPr>
        <w:ind w:left="1020" w:hanging="360"/>
      </w:pPr>
    </w:lvl>
    <w:lvl w:ilvl="7" w:tplc="E37498D6">
      <w:start w:val="1"/>
      <w:numFmt w:val="lowerRoman"/>
      <w:lvlText w:val="%8)"/>
      <w:lvlJc w:val="right"/>
      <w:pPr>
        <w:ind w:left="1020" w:hanging="360"/>
      </w:pPr>
    </w:lvl>
    <w:lvl w:ilvl="8" w:tplc="AF40B236">
      <w:start w:val="1"/>
      <w:numFmt w:val="lowerRoman"/>
      <w:lvlText w:val="%9)"/>
      <w:lvlJc w:val="right"/>
      <w:pPr>
        <w:ind w:left="1020" w:hanging="360"/>
      </w:pPr>
    </w:lvl>
  </w:abstractNum>
  <w:abstractNum w:abstractNumId="17" w15:restartNumberingAfterBreak="0">
    <w:nsid w:val="33492207"/>
    <w:multiLevelType w:val="hybridMultilevel"/>
    <w:tmpl w:val="4E988F02"/>
    <w:lvl w:ilvl="0" w:tplc="06C88872">
      <w:numFmt w:val="bullet"/>
      <w:lvlText w:val="-"/>
      <w:lvlJc w:val="left"/>
      <w:pPr>
        <w:ind w:left="0" w:hanging="105"/>
      </w:pPr>
      <w:rPr>
        <w:rFonts w:ascii="Lucida Sans" w:eastAsia="Lucida Sans" w:hAnsi="Lucida Sans" w:cs="Lucida Sans" w:hint="default"/>
        <w:b w:val="0"/>
        <w:bCs w:val="0"/>
        <w:i w:val="0"/>
        <w:iCs w:val="0"/>
        <w:w w:val="98"/>
        <w:sz w:val="18"/>
        <w:szCs w:val="18"/>
        <w:lang w:val="en-US" w:eastAsia="en-US" w:bidi="ar-SA"/>
      </w:rPr>
    </w:lvl>
    <w:lvl w:ilvl="1" w:tplc="F52E8E7C">
      <w:numFmt w:val="bullet"/>
      <w:lvlText w:val="•"/>
      <w:lvlJc w:val="left"/>
      <w:pPr>
        <w:ind w:left="853" w:hanging="105"/>
      </w:pPr>
      <w:rPr>
        <w:rFonts w:hint="default"/>
        <w:lang w:val="en-US" w:eastAsia="en-US" w:bidi="ar-SA"/>
      </w:rPr>
    </w:lvl>
    <w:lvl w:ilvl="2" w:tplc="C44E6EAA">
      <w:numFmt w:val="bullet"/>
      <w:lvlText w:val="•"/>
      <w:lvlJc w:val="left"/>
      <w:pPr>
        <w:ind w:left="1707" w:hanging="105"/>
      </w:pPr>
      <w:rPr>
        <w:rFonts w:hint="default"/>
        <w:lang w:val="en-US" w:eastAsia="en-US" w:bidi="ar-SA"/>
      </w:rPr>
    </w:lvl>
    <w:lvl w:ilvl="3" w:tplc="1026FC46">
      <w:numFmt w:val="bullet"/>
      <w:lvlText w:val="•"/>
      <w:lvlJc w:val="left"/>
      <w:pPr>
        <w:ind w:left="2561" w:hanging="105"/>
      </w:pPr>
      <w:rPr>
        <w:rFonts w:hint="default"/>
        <w:lang w:val="en-US" w:eastAsia="en-US" w:bidi="ar-SA"/>
      </w:rPr>
    </w:lvl>
    <w:lvl w:ilvl="4" w:tplc="BEC4E376">
      <w:numFmt w:val="bullet"/>
      <w:lvlText w:val="•"/>
      <w:lvlJc w:val="left"/>
      <w:pPr>
        <w:ind w:left="3415" w:hanging="105"/>
      </w:pPr>
      <w:rPr>
        <w:rFonts w:hint="default"/>
        <w:lang w:val="en-US" w:eastAsia="en-US" w:bidi="ar-SA"/>
      </w:rPr>
    </w:lvl>
    <w:lvl w:ilvl="5" w:tplc="A3543A74">
      <w:numFmt w:val="bullet"/>
      <w:lvlText w:val="•"/>
      <w:lvlJc w:val="left"/>
      <w:pPr>
        <w:ind w:left="4269" w:hanging="105"/>
      </w:pPr>
      <w:rPr>
        <w:rFonts w:hint="default"/>
        <w:lang w:val="en-US" w:eastAsia="en-US" w:bidi="ar-SA"/>
      </w:rPr>
    </w:lvl>
    <w:lvl w:ilvl="6" w:tplc="E4D2D1B4">
      <w:numFmt w:val="bullet"/>
      <w:lvlText w:val="•"/>
      <w:lvlJc w:val="left"/>
      <w:pPr>
        <w:ind w:left="5123" w:hanging="105"/>
      </w:pPr>
      <w:rPr>
        <w:rFonts w:hint="default"/>
        <w:lang w:val="en-US" w:eastAsia="en-US" w:bidi="ar-SA"/>
      </w:rPr>
    </w:lvl>
    <w:lvl w:ilvl="7" w:tplc="8B04A0D2">
      <w:numFmt w:val="bullet"/>
      <w:lvlText w:val="•"/>
      <w:lvlJc w:val="left"/>
      <w:pPr>
        <w:ind w:left="5977" w:hanging="105"/>
      </w:pPr>
      <w:rPr>
        <w:rFonts w:hint="default"/>
        <w:lang w:val="en-US" w:eastAsia="en-US" w:bidi="ar-SA"/>
      </w:rPr>
    </w:lvl>
    <w:lvl w:ilvl="8" w:tplc="1018DA96">
      <w:numFmt w:val="bullet"/>
      <w:lvlText w:val="•"/>
      <w:lvlJc w:val="left"/>
      <w:pPr>
        <w:ind w:left="6831" w:hanging="105"/>
      </w:pPr>
      <w:rPr>
        <w:rFonts w:hint="default"/>
        <w:lang w:val="en-US" w:eastAsia="en-US" w:bidi="ar-SA"/>
      </w:rPr>
    </w:lvl>
  </w:abstractNum>
  <w:abstractNum w:abstractNumId="18" w15:restartNumberingAfterBreak="0">
    <w:nsid w:val="364817BD"/>
    <w:multiLevelType w:val="hybridMultilevel"/>
    <w:tmpl w:val="AA64486A"/>
    <w:lvl w:ilvl="0" w:tplc="DE4239BC">
      <w:start w:val="1"/>
      <w:numFmt w:val="decimal"/>
      <w:lvlText w:val="(%1)"/>
      <w:lvlJc w:val="left"/>
      <w:pPr>
        <w:ind w:left="1932" w:hanging="708"/>
      </w:pPr>
      <w:rPr>
        <w:rFonts w:ascii="Arial" w:eastAsia="Arial" w:hAnsi="Arial" w:cs="Arial" w:hint="default"/>
        <w:b w:val="0"/>
        <w:bCs w:val="0"/>
        <w:i w:val="0"/>
        <w:iCs w:val="0"/>
        <w:spacing w:val="-1"/>
        <w:w w:val="100"/>
        <w:sz w:val="21"/>
        <w:szCs w:val="21"/>
        <w:lang w:val="en-US" w:eastAsia="en-US" w:bidi="ar-SA"/>
      </w:rPr>
    </w:lvl>
    <w:lvl w:ilvl="1" w:tplc="3AB23782">
      <w:numFmt w:val="bullet"/>
      <w:lvlText w:val="•"/>
      <w:lvlJc w:val="left"/>
      <w:pPr>
        <w:ind w:left="2866" w:hanging="708"/>
      </w:pPr>
      <w:rPr>
        <w:rFonts w:hint="default"/>
        <w:lang w:val="en-US" w:eastAsia="en-US" w:bidi="ar-SA"/>
      </w:rPr>
    </w:lvl>
    <w:lvl w:ilvl="2" w:tplc="EAD0CF62">
      <w:numFmt w:val="bullet"/>
      <w:lvlText w:val="•"/>
      <w:lvlJc w:val="left"/>
      <w:pPr>
        <w:ind w:left="3793" w:hanging="708"/>
      </w:pPr>
      <w:rPr>
        <w:rFonts w:hint="default"/>
        <w:lang w:val="en-US" w:eastAsia="en-US" w:bidi="ar-SA"/>
      </w:rPr>
    </w:lvl>
    <w:lvl w:ilvl="3" w:tplc="73282FD0">
      <w:numFmt w:val="bullet"/>
      <w:lvlText w:val="•"/>
      <w:lvlJc w:val="left"/>
      <w:pPr>
        <w:ind w:left="4719" w:hanging="708"/>
      </w:pPr>
      <w:rPr>
        <w:rFonts w:hint="default"/>
        <w:lang w:val="en-US" w:eastAsia="en-US" w:bidi="ar-SA"/>
      </w:rPr>
    </w:lvl>
    <w:lvl w:ilvl="4" w:tplc="B70A6FCA">
      <w:numFmt w:val="bullet"/>
      <w:lvlText w:val="•"/>
      <w:lvlJc w:val="left"/>
      <w:pPr>
        <w:ind w:left="5646" w:hanging="708"/>
      </w:pPr>
      <w:rPr>
        <w:rFonts w:hint="default"/>
        <w:lang w:val="en-US" w:eastAsia="en-US" w:bidi="ar-SA"/>
      </w:rPr>
    </w:lvl>
    <w:lvl w:ilvl="5" w:tplc="129EB624">
      <w:numFmt w:val="bullet"/>
      <w:lvlText w:val="•"/>
      <w:lvlJc w:val="left"/>
      <w:pPr>
        <w:ind w:left="6572" w:hanging="708"/>
      </w:pPr>
      <w:rPr>
        <w:rFonts w:hint="default"/>
        <w:lang w:val="en-US" w:eastAsia="en-US" w:bidi="ar-SA"/>
      </w:rPr>
    </w:lvl>
    <w:lvl w:ilvl="6" w:tplc="0B8A0FC8">
      <w:numFmt w:val="bullet"/>
      <w:lvlText w:val="•"/>
      <w:lvlJc w:val="left"/>
      <w:pPr>
        <w:ind w:left="7499" w:hanging="708"/>
      </w:pPr>
      <w:rPr>
        <w:rFonts w:hint="default"/>
        <w:lang w:val="en-US" w:eastAsia="en-US" w:bidi="ar-SA"/>
      </w:rPr>
    </w:lvl>
    <w:lvl w:ilvl="7" w:tplc="C1D46FA6">
      <w:numFmt w:val="bullet"/>
      <w:lvlText w:val="•"/>
      <w:lvlJc w:val="left"/>
      <w:pPr>
        <w:ind w:left="8425" w:hanging="708"/>
      </w:pPr>
      <w:rPr>
        <w:rFonts w:hint="default"/>
        <w:lang w:val="en-US" w:eastAsia="en-US" w:bidi="ar-SA"/>
      </w:rPr>
    </w:lvl>
    <w:lvl w:ilvl="8" w:tplc="D7546B12">
      <w:numFmt w:val="bullet"/>
      <w:lvlText w:val="•"/>
      <w:lvlJc w:val="left"/>
      <w:pPr>
        <w:ind w:left="9352" w:hanging="708"/>
      </w:pPr>
      <w:rPr>
        <w:rFonts w:hint="default"/>
        <w:lang w:val="en-US" w:eastAsia="en-US" w:bidi="ar-SA"/>
      </w:rPr>
    </w:lvl>
  </w:abstractNum>
  <w:abstractNum w:abstractNumId="19" w15:restartNumberingAfterBreak="0">
    <w:nsid w:val="376E3844"/>
    <w:multiLevelType w:val="multilevel"/>
    <w:tmpl w:val="77266CCC"/>
    <w:lvl w:ilvl="0">
      <w:start w:val="1"/>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20" w15:restartNumberingAfterBreak="0">
    <w:nsid w:val="37EC0552"/>
    <w:multiLevelType w:val="hybridMultilevel"/>
    <w:tmpl w:val="A47A8C90"/>
    <w:lvl w:ilvl="0" w:tplc="05C4A240">
      <w:numFmt w:val="bullet"/>
      <w:lvlText w:val=""/>
      <w:lvlJc w:val="left"/>
      <w:pPr>
        <w:ind w:left="394" w:hanging="359"/>
      </w:pPr>
      <w:rPr>
        <w:rFonts w:ascii="Wingdings" w:eastAsia="Wingdings" w:hAnsi="Wingdings" w:cs="Wingdings" w:hint="default"/>
        <w:b w:val="0"/>
        <w:bCs w:val="0"/>
        <w:i w:val="0"/>
        <w:iCs w:val="0"/>
        <w:w w:val="100"/>
        <w:position w:val="2"/>
        <w:sz w:val="20"/>
        <w:szCs w:val="20"/>
        <w:lang w:val="en-US" w:eastAsia="en-US" w:bidi="ar-SA"/>
      </w:rPr>
    </w:lvl>
    <w:lvl w:ilvl="1" w:tplc="E902A08E">
      <w:numFmt w:val="bullet"/>
      <w:lvlText w:val=""/>
      <w:lvlJc w:val="left"/>
      <w:pPr>
        <w:ind w:left="866" w:hanging="432"/>
      </w:pPr>
      <w:rPr>
        <w:rFonts w:ascii="Wingdings" w:eastAsia="Wingdings" w:hAnsi="Wingdings" w:cs="Wingdings" w:hint="default"/>
        <w:b w:val="0"/>
        <w:bCs w:val="0"/>
        <w:i w:val="0"/>
        <w:iCs w:val="0"/>
        <w:w w:val="100"/>
        <w:position w:val="2"/>
        <w:sz w:val="20"/>
        <w:szCs w:val="20"/>
        <w:lang w:val="en-US" w:eastAsia="en-US" w:bidi="ar-SA"/>
      </w:rPr>
    </w:lvl>
    <w:lvl w:ilvl="2" w:tplc="050AC87E">
      <w:numFmt w:val="bullet"/>
      <w:lvlText w:val="•"/>
      <w:lvlJc w:val="left"/>
      <w:pPr>
        <w:ind w:left="1226" w:hanging="432"/>
      </w:pPr>
      <w:rPr>
        <w:rFonts w:hint="default"/>
        <w:lang w:val="en-US" w:eastAsia="en-US" w:bidi="ar-SA"/>
      </w:rPr>
    </w:lvl>
    <w:lvl w:ilvl="3" w:tplc="2E76C4F8">
      <w:numFmt w:val="bullet"/>
      <w:lvlText w:val="•"/>
      <w:lvlJc w:val="left"/>
      <w:pPr>
        <w:ind w:left="1593" w:hanging="432"/>
      </w:pPr>
      <w:rPr>
        <w:rFonts w:hint="default"/>
        <w:lang w:val="en-US" w:eastAsia="en-US" w:bidi="ar-SA"/>
      </w:rPr>
    </w:lvl>
    <w:lvl w:ilvl="4" w:tplc="0AA82B46">
      <w:numFmt w:val="bullet"/>
      <w:lvlText w:val="•"/>
      <w:lvlJc w:val="left"/>
      <w:pPr>
        <w:ind w:left="1960" w:hanging="432"/>
      </w:pPr>
      <w:rPr>
        <w:rFonts w:hint="default"/>
        <w:lang w:val="en-US" w:eastAsia="en-US" w:bidi="ar-SA"/>
      </w:rPr>
    </w:lvl>
    <w:lvl w:ilvl="5" w:tplc="818A3404">
      <w:numFmt w:val="bullet"/>
      <w:lvlText w:val="•"/>
      <w:lvlJc w:val="left"/>
      <w:pPr>
        <w:ind w:left="2327" w:hanging="432"/>
      </w:pPr>
      <w:rPr>
        <w:rFonts w:hint="default"/>
        <w:lang w:val="en-US" w:eastAsia="en-US" w:bidi="ar-SA"/>
      </w:rPr>
    </w:lvl>
    <w:lvl w:ilvl="6" w:tplc="E0F6D4C0">
      <w:numFmt w:val="bullet"/>
      <w:lvlText w:val="•"/>
      <w:lvlJc w:val="left"/>
      <w:pPr>
        <w:ind w:left="2694" w:hanging="432"/>
      </w:pPr>
      <w:rPr>
        <w:rFonts w:hint="default"/>
        <w:lang w:val="en-US" w:eastAsia="en-US" w:bidi="ar-SA"/>
      </w:rPr>
    </w:lvl>
    <w:lvl w:ilvl="7" w:tplc="77E27AE0">
      <w:numFmt w:val="bullet"/>
      <w:lvlText w:val="•"/>
      <w:lvlJc w:val="left"/>
      <w:pPr>
        <w:ind w:left="3061" w:hanging="432"/>
      </w:pPr>
      <w:rPr>
        <w:rFonts w:hint="default"/>
        <w:lang w:val="en-US" w:eastAsia="en-US" w:bidi="ar-SA"/>
      </w:rPr>
    </w:lvl>
    <w:lvl w:ilvl="8" w:tplc="4E48A1E8">
      <w:numFmt w:val="bullet"/>
      <w:lvlText w:val="•"/>
      <w:lvlJc w:val="left"/>
      <w:pPr>
        <w:ind w:left="3428" w:hanging="432"/>
      </w:pPr>
      <w:rPr>
        <w:rFonts w:hint="default"/>
        <w:lang w:val="en-US" w:eastAsia="en-US" w:bidi="ar-SA"/>
      </w:rPr>
    </w:lvl>
  </w:abstractNum>
  <w:abstractNum w:abstractNumId="21" w15:restartNumberingAfterBreak="0">
    <w:nsid w:val="38084EA8"/>
    <w:multiLevelType w:val="hybridMultilevel"/>
    <w:tmpl w:val="95B4BFFC"/>
    <w:lvl w:ilvl="0" w:tplc="D124EE28">
      <w:start w:val="1"/>
      <w:numFmt w:val="bullet"/>
      <w:lvlText w:val=""/>
      <w:lvlJc w:val="left"/>
      <w:pPr>
        <w:ind w:left="1287" w:hanging="360"/>
      </w:pPr>
      <w:rPr>
        <w:rFonts w:ascii="Symbol" w:hAnsi="Symbol" w:hint="default"/>
      </w:rPr>
    </w:lvl>
    <w:lvl w:ilvl="1" w:tplc="F392C244" w:tentative="1">
      <w:start w:val="1"/>
      <w:numFmt w:val="bullet"/>
      <w:lvlText w:val="o"/>
      <w:lvlJc w:val="left"/>
      <w:pPr>
        <w:ind w:left="2007" w:hanging="360"/>
      </w:pPr>
      <w:rPr>
        <w:rFonts w:ascii="Courier New" w:hAnsi="Courier New" w:cs="Courier New" w:hint="default"/>
      </w:rPr>
    </w:lvl>
    <w:lvl w:ilvl="2" w:tplc="217E2C0A" w:tentative="1">
      <w:start w:val="1"/>
      <w:numFmt w:val="bullet"/>
      <w:lvlText w:val=""/>
      <w:lvlJc w:val="left"/>
      <w:pPr>
        <w:ind w:left="2727" w:hanging="360"/>
      </w:pPr>
      <w:rPr>
        <w:rFonts w:ascii="Wingdings" w:hAnsi="Wingdings" w:hint="default"/>
      </w:rPr>
    </w:lvl>
    <w:lvl w:ilvl="3" w:tplc="F2FAF284" w:tentative="1">
      <w:start w:val="1"/>
      <w:numFmt w:val="bullet"/>
      <w:lvlText w:val=""/>
      <w:lvlJc w:val="left"/>
      <w:pPr>
        <w:ind w:left="3447" w:hanging="360"/>
      </w:pPr>
      <w:rPr>
        <w:rFonts w:ascii="Symbol" w:hAnsi="Symbol" w:hint="default"/>
      </w:rPr>
    </w:lvl>
    <w:lvl w:ilvl="4" w:tplc="5C50DCCC" w:tentative="1">
      <w:start w:val="1"/>
      <w:numFmt w:val="bullet"/>
      <w:lvlText w:val="o"/>
      <w:lvlJc w:val="left"/>
      <w:pPr>
        <w:ind w:left="4167" w:hanging="360"/>
      </w:pPr>
      <w:rPr>
        <w:rFonts w:ascii="Courier New" w:hAnsi="Courier New" w:cs="Courier New" w:hint="default"/>
      </w:rPr>
    </w:lvl>
    <w:lvl w:ilvl="5" w:tplc="0F88186E" w:tentative="1">
      <w:start w:val="1"/>
      <w:numFmt w:val="bullet"/>
      <w:lvlText w:val=""/>
      <w:lvlJc w:val="left"/>
      <w:pPr>
        <w:ind w:left="4887" w:hanging="360"/>
      </w:pPr>
      <w:rPr>
        <w:rFonts w:ascii="Wingdings" w:hAnsi="Wingdings" w:hint="default"/>
      </w:rPr>
    </w:lvl>
    <w:lvl w:ilvl="6" w:tplc="A4D29446" w:tentative="1">
      <w:start w:val="1"/>
      <w:numFmt w:val="bullet"/>
      <w:lvlText w:val=""/>
      <w:lvlJc w:val="left"/>
      <w:pPr>
        <w:ind w:left="5607" w:hanging="360"/>
      </w:pPr>
      <w:rPr>
        <w:rFonts w:ascii="Symbol" w:hAnsi="Symbol" w:hint="default"/>
      </w:rPr>
    </w:lvl>
    <w:lvl w:ilvl="7" w:tplc="AC142644" w:tentative="1">
      <w:start w:val="1"/>
      <w:numFmt w:val="bullet"/>
      <w:lvlText w:val="o"/>
      <w:lvlJc w:val="left"/>
      <w:pPr>
        <w:ind w:left="6327" w:hanging="360"/>
      </w:pPr>
      <w:rPr>
        <w:rFonts w:ascii="Courier New" w:hAnsi="Courier New" w:cs="Courier New" w:hint="default"/>
      </w:rPr>
    </w:lvl>
    <w:lvl w:ilvl="8" w:tplc="7338B8F6" w:tentative="1">
      <w:start w:val="1"/>
      <w:numFmt w:val="bullet"/>
      <w:lvlText w:val=""/>
      <w:lvlJc w:val="left"/>
      <w:pPr>
        <w:ind w:left="7047" w:hanging="360"/>
      </w:pPr>
      <w:rPr>
        <w:rFonts w:ascii="Wingdings" w:hAnsi="Wingdings" w:hint="default"/>
      </w:rPr>
    </w:lvl>
  </w:abstractNum>
  <w:abstractNum w:abstractNumId="22" w15:restartNumberingAfterBreak="0">
    <w:nsid w:val="39262907"/>
    <w:multiLevelType w:val="hybridMultilevel"/>
    <w:tmpl w:val="79704D48"/>
    <w:lvl w:ilvl="0" w:tplc="AB44F2AA">
      <w:numFmt w:val="bullet"/>
      <w:lvlText w:val="•"/>
      <w:lvlJc w:val="left"/>
      <w:pPr>
        <w:ind w:left="3307" w:hanging="360"/>
      </w:pPr>
      <w:rPr>
        <w:rFonts w:ascii="Courier New" w:eastAsia="Courier New" w:hAnsi="Courier New" w:cs="Courier New" w:hint="default"/>
        <w:b w:val="0"/>
        <w:bCs w:val="0"/>
        <w:i w:val="0"/>
        <w:iCs w:val="0"/>
        <w:w w:val="100"/>
        <w:sz w:val="20"/>
        <w:szCs w:val="20"/>
        <w:lang w:val="en-US" w:eastAsia="en-US" w:bidi="ar-SA"/>
      </w:rPr>
    </w:lvl>
    <w:lvl w:ilvl="1" w:tplc="FA44A626">
      <w:numFmt w:val="bullet"/>
      <w:lvlText w:val="•"/>
      <w:lvlJc w:val="left"/>
      <w:pPr>
        <w:ind w:left="4090" w:hanging="360"/>
      </w:pPr>
      <w:rPr>
        <w:rFonts w:hint="default"/>
        <w:lang w:val="en-US" w:eastAsia="en-US" w:bidi="ar-SA"/>
      </w:rPr>
    </w:lvl>
    <w:lvl w:ilvl="2" w:tplc="825808A6">
      <w:numFmt w:val="bullet"/>
      <w:lvlText w:val="•"/>
      <w:lvlJc w:val="left"/>
      <w:pPr>
        <w:ind w:left="4881" w:hanging="360"/>
      </w:pPr>
      <w:rPr>
        <w:rFonts w:hint="default"/>
        <w:lang w:val="en-US" w:eastAsia="en-US" w:bidi="ar-SA"/>
      </w:rPr>
    </w:lvl>
    <w:lvl w:ilvl="3" w:tplc="07C6AE86">
      <w:numFmt w:val="bullet"/>
      <w:lvlText w:val="•"/>
      <w:lvlJc w:val="left"/>
      <w:pPr>
        <w:ind w:left="5671" w:hanging="360"/>
      </w:pPr>
      <w:rPr>
        <w:rFonts w:hint="default"/>
        <w:lang w:val="en-US" w:eastAsia="en-US" w:bidi="ar-SA"/>
      </w:rPr>
    </w:lvl>
    <w:lvl w:ilvl="4" w:tplc="EDCC5590">
      <w:numFmt w:val="bullet"/>
      <w:lvlText w:val="•"/>
      <w:lvlJc w:val="left"/>
      <w:pPr>
        <w:ind w:left="6462" w:hanging="360"/>
      </w:pPr>
      <w:rPr>
        <w:rFonts w:hint="default"/>
        <w:lang w:val="en-US" w:eastAsia="en-US" w:bidi="ar-SA"/>
      </w:rPr>
    </w:lvl>
    <w:lvl w:ilvl="5" w:tplc="F4CE4608">
      <w:numFmt w:val="bullet"/>
      <w:lvlText w:val="•"/>
      <w:lvlJc w:val="left"/>
      <w:pPr>
        <w:ind w:left="7252" w:hanging="360"/>
      </w:pPr>
      <w:rPr>
        <w:rFonts w:hint="default"/>
        <w:lang w:val="en-US" w:eastAsia="en-US" w:bidi="ar-SA"/>
      </w:rPr>
    </w:lvl>
    <w:lvl w:ilvl="6" w:tplc="F8AC61BC">
      <w:numFmt w:val="bullet"/>
      <w:lvlText w:val="•"/>
      <w:lvlJc w:val="left"/>
      <w:pPr>
        <w:ind w:left="8043" w:hanging="360"/>
      </w:pPr>
      <w:rPr>
        <w:rFonts w:hint="default"/>
        <w:lang w:val="en-US" w:eastAsia="en-US" w:bidi="ar-SA"/>
      </w:rPr>
    </w:lvl>
    <w:lvl w:ilvl="7" w:tplc="F0FA5F4C">
      <w:numFmt w:val="bullet"/>
      <w:lvlText w:val="•"/>
      <w:lvlJc w:val="left"/>
      <w:pPr>
        <w:ind w:left="8833" w:hanging="360"/>
      </w:pPr>
      <w:rPr>
        <w:rFonts w:hint="default"/>
        <w:lang w:val="en-US" w:eastAsia="en-US" w:bidi="ar-SA"/>
      </w:rPr>
    </w:lvl>
    <w:lvl w:ilvl="8" w:tplc="5CEAD096">
      <w:numFmt w:val="bullet"/>
      <w:lvlText w:val="•"/>
      <w:lvlJc w:val="left"/>
      <w:pPr>
        <w:ind w:left="9624" w:hanging="360"/>
      </w:pPr>
      <w:rPr>
        <w:rFonts w:hint="default"/>
        <w:lang w:val="en-US" w:eastAsia="en-US" w:bidi="ar-SA"/>
      </w:rPr>
    </w:lvl>
  </w:abstractNum>
  <w:abstractNum w:abstractNumId="23" w15:restartNumberingAfterBreak="0">
    <w:nsid w:val="39AB1CA6"/>
    <w:multiLevelType w:val="multilevel"/>
    <w:tmpl w:val="77266CCC"/>
    <w:lvl w:ilvl="0">
      <w:start w:val="1"/>
      <w:numFmt w:val="decimal"/>
      <w:lvlText w:val="%1"/>
      <w:lvlJc w:val="left"/>
      <w:pPr>
        <w:ind w:left="1944" w:hanging="721"/>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1224" w:hanging="720"/>
      </w:pPr>
      <w:rPr>
        <w:rFonts w:ascii="Arial" w:eastAsia="Arial" w:hAnsi="Arial" w:cs="Arial" w:hint="default"/>
        <w:b/>
        <w:bCs/>
        <w:i w:val="0"/>
        <w:iCs w:val="0"/>
        <w:spacing w:val="-2"/>
        <w:w w:val="100"/>
        <w:sz w:val="21"/>
        <w:szCs w:val="21"/>
        <w:lang w:val="en-US" w:eastAsia="en-US" w:bidi="ar-SA"/>
      </w:rPr>
    </w:lvl>
    <w:lvl w:ilvl="2">
      <w:numFmt w:val="bullet"/>
      <w:lvlText w:val="•"/>
      <w:lvlJc w:val="left"/>
      <w:pPr>
        <w:ind w:left="2969"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5028" w:hanging="720"/>
      </w:pPr>
      <w:rPr>
        <w:rFonts w:hint="default"/>
        <w:lang w:val="en-US" w:eastAsia="en-US" w:bidi="ar-SA"/>
      </w:rPr>
    </w:lvl>
    <w:lvl w:ilvl="5">
      <w:numFmt w:val="bullet"/>
      <w:lvlText w:val="•"/>
      <w:lvlJc w:val="left"/>
      <w:pPr>
        <w:ind w:left="6058" w:hanging="720"/>
      </w:pPr>
      <w:rPr>
        <w:rFonts w:hint="default"/>
        <w:lang w:val="en-US" w:eastAsia="en-US" w:bidi="ar-SA"/>
      </w:rPr>
    </w:lvl>
    <w:lvl w:ilvl="6">
      <w:numFmt w:val="bullet"/>
      <w:lvlText w:val="•"/>
      <w:lvlJc w:val="left"/>
      <w:pPr>
        <w:ind w:left="7087" w:hanging="720"/>
      </w:pPr>
      <w:rPr>
        <w:rFonts w:hint="default"/>
        <w:lang w:val="en-US" w:eastAsia="en-US" w:bidi="ar-SA"/>
      </w:rPr>
    </w:lvl>
    <w:lvl w:ilvl="7">
      <w:numFmt w:val="bullet"/>
      <w:lvlText w:val="•"/>
      <w:lvlJc w:val="left"/>
      <w:pPr>
        <w:ind w:left="8117"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24" w15:restartNumberingAfterBreak="0">
    <w:nsid w:val="4430212A"/>
    <w:multiLevelType w:val="hybridMultilevel"/>
    <w:tmpl w:val="1848F78A"/>
    <w:lvl w:ilvl="0" w:tplc="6B7C0AB8">
      <w:start w:val="1"/>
      <w:numFmt w:val="lowerRoman"/>
      <w:lvlText w:val="%1."/>
      <w:lvlJc w:val="right"/>
      <w:pPr>
        <w:ind w:left="2880" w:hanging="360"/>
      </w:pPr>
    </w:lvl>
    <w:lvl w:ilvl="1" w:tplc="9A344AF4">
      <w:start w:val="1"/>
      <w:numFmt w:val="lowerRoman"/>
      <w:lvlText w:val="%2."/>
      <w:lvlJc w:val="right"/>
      <w:pPr>
        <w:ind w:left="2880" w:hanging="360"/>
      </w:pPr>
    </w:lvl>
    <w:lvl w:ilvl="2" w:tplc="E90E6BD8">
      <w:start w:val="1"/>
      <w:numFmt w:val="lowerRoman"/>
      <w:lvlText w:val="%3."/>
      <w:lvlJc w:val="right"/>
      <w:pPr>
        <w:ind w:left="2880" w:hanging="360"/>
      </w:pPr>
    </w:lvl>
    <w:lvl w:ilvl="3" w:tplc="C2667580">
      <w:start w:val="1"/>
      <w:numFmt w:val="lowerRoman"/>
      <w:lvlText w:val="%4."/>
      <w:lvlJc w:val="right"/>
      <w:pPr>
        <w:ind w:left="2880" w:hanging="360"/>
      </w:pPr>
    </w:lvl>
    <w:lvl w:ilvl="4" w:tplc="0DB8A02A">
      <w:start w:val="1"/>
      <w:numFmt w:val="lowerRoman"/>
      <w:lvlText w:val="%5."/>
      <w:lvlJc w:val="right"/>
      <w:pPr>
        <w:ind w:left="2880" w:hanging="360"/>
      </w:pPr>
    </w:lvl>
    <w:lvl w:ilvl="5" w:tplc="D6D4368E">
      <w:start w:val="1"/>
      <w:numFmt w:val="lowerRoman"/>
      <w:lvlText w:val="%6."/>
      <w:lvlJc w:val="right"/>
      <w:pPr>
        <w:ind w:left="2880" w:hanging="360"/>
      </w:pPr>
    </w:lvl>
    <w:lvl w:ilvl="6" w:tplc="481CE920">
      <w:start w:val="1"/>
      <w:numFmt w:val="lowerRoman"/>
      <w:lvlText w:val="%7."/>
      <w:lvlJc w:val="right"/>
      <w:pPr>
        <w:ind w:left="2880" w:hanging="360"/>
      </w:pPr>
    </w:lvl>
    <w:lvl w:ilvl="7" w:tplc="21D42FA6">
      <w:start w:val="1"/>
      <w:numFmt w:val="lowerRoman"/>
      <w:lvlText w:val="%8."/>
      <w:lvlJc w:val="right"/>
      <w:pPr>
        <w:ind w:left="2880" w:hanging="360"/>
      </w:pPr>
    </w:lvl>
    <w:lvl w:ilvl="8" w:tplc="57E08470">
      <w:start w:val="1"/>
      <w:numFmt w:val="lowerRoman"/>
      <w:lvlText w:val="%9."/>
      <w:lvlJc w:val="right"/>
      <w:pPr>
        <w:ind w:left="2880" w:hanging="360"/>
      </w:pPr>
    </w:lvl>
  </w:abstractNum>
  <w:abstractNum w:abstractNumId="25" w15:restartNumberingAfterBreak="0">
    <w:nsid w:val="46B678AE"/>
    <w:multiLevelType w:val="hybridMultilevel"/>
    <w:tmpl w:val="E5B0104A"/>
    <w:lvl w:ilvl="0" w:tplc="3C923C84">
      <w:numFmt w:val="bullet"/>
      <w:lvlText w:val="-"/>
      <w:lvlJc w:val="left"/>
      <w:pPr>
        <w:ind w:left="40" w:hanging="106"/>
      </w:pPr>
      <w:rPr>
        <w:rFonts w:ascii="Lucida Sans" w:eastAsia="Lucida Sans" w:hAnsi="Lucida Sans" w:cs="Lucida Sans" w:hint="default"/>
        <w:b w:val="0"/>
        <w:bCs w:val="0"/>
        <w:i w:val="0"/>
        <w:iCs w:val="0"/>
        <w:color w:val="FFFFFF"/>
        <w:w w:val="98"/>
        <w:sz w:val="18"/>
        <w:szCs w:val="18"/>
        <w:lang w:val="en-US" w:eastAsia="en-US" w:bidi="ar-SA"/>
      </w:rPr>
    </w:lvl>
    <w:lvl w:ilvl="1" w:tplc="244CE320">
      <w:numFmt w:val="bullet"/>
      <w:lvlText w:val="•"/>
      <w:lvlJc w:val="left"/>
      <w:pPr>
        <w:ind w:left="232" w:hanging="106"/>
      </w:pPr>
      <w:rPr>
        <w:rFonts w:hint="default"/>
        <w:lang w:val="en-US" w:eastAsia="en-US" w:bidi="ar-SA"/>
      </w:rPr>
    </w:lvl>
    <w:lvl w:ilvl="2" w:tplc="F0BABB4C">
      <w:numFmt w:val="bullet"/>
      <w:lvlText w:val="•"/>
      <w:lvlJc w:val="left"/>
      <w:pPr>
        <w:ind w:left="425" w:hanging="106"/>
      </w:pPr>
      <w:rPr>
        <w:rFonts w:hint="default"/>
        <w:lang w:val="en-US" w:eastAsia="en-US" w:bidi="ar-SA"/>
      </w:rPr>
    </w:lvl>
    <w:lvl w:ilvl="3" w:tplc="FFE6B7F2">
      <w:numFmt w:val="bullet"/>
      <w:lvlText w:val="•"/>
      <w:lvlJc w:val="left"/>
      <w:pPr>
        <w:ind w:left="618" w:hanging="106"/>
      </w:pPr>
      <w:rPr>
        <w:rFonts w:hint="default"/>
        <w:lang w:val="en-US" w:eastAsia="en-US" w:bidi="ar-SA"/>
      </w:rPr>
    </w:lvl>
    <w:lvl w:ilvl="4" w:tplc="4218F868">
      <w:numFmt w:val="bullet"/>
      <w:lvlText w:val="•"/>
      <w:lvlJc w:val="left"/>
      <w:pPr>
        <w:ind w:left="810" w:hanging="106"/>
      </w:pPr>
      <w:rPr>
        <w:rFonts w:hint="default"/>
        <w:lang w:val="en-US" w:eastAsia="en-US" w:bidi="ar-SA"/>
      </w:rPr>
    </w:lvl>
    <w:lvl w:ilvl="5" w:tplc="7388A8D6">
      <w:numFmt w:val="bullet"/>
      <w:lvlText w:val="•"/>
      <w:lvlJc w:val="left"/>
      <w:pPr>
        <w:ind w:left="1003" w:hanging="106"/>
      </w:pPr>
      <w:rPr>
        <w:rFonts w:hint="default"/>
        <w:lang w:val="en-US" w:eastAsia="en-US" w:bidi="ar-SA"/>
      </w:rPr>
    </w:lvl>
    <w:lvl w:ilvl="6" w:tplc="8E609584">
      <w:numFmt w:val="bullet"/>
      <w:lvlText w:val="•"/>
      <w:lvlJc w:val="left"/>
      <w:pPr>
        <w:ind w:left="1196" w:hanging="106"/>
      </w:pPr>
      <w:rPr>
        <w:rFonts w:hint="default"/>
        <w:lang w:val="en-US" w:eastAsia="en-US" w:bidi="ar-SA"/>
      </w:rPr>
    </w:lvl>
    <w:lvl w:ilvl="7" w:tplc="83E8C3AC">
      <w:numFmt w:val="bullet"/>
      <w:lvlText w:val="•"/>
      <w:lvlJc w:val="left"/>
      <w:pPr>
        <w:ind w:left="1388" w:hanging="106"/>
      </w:pPr>
      <w:rPr>
        <w:rFonts w:hint="default"/>
        <w:lang w:val="en-US" w:eastAsia="en-US" w:bidi="ar-SA"/>
      </w:rPr>
    </w:lvl>
    <w:lvl w:ilvl="8" w:tplc="322C450C">
      <w:numFmt w:val="bullet"/>
      <w:lvlText w:val="•"/>
      <w:lvlJc w:val="left"/>
      <w:pPr>
        <w:ind w:left="1581" w:hanging="106"/>
      </w:pPr>
      <w:rPr>
        <w:rFonts w:hint="default"/>
        <w:lang w:val="en-US" w:eastAsia="en-US" w:bidi="ar-SA"/>
      </w:rPr>
    </w:lvl>
  </w:abstractNum>
  <w:abstractNum w:abstractNumId="26" w15:restartNumberingAfterBreak="0">
    <w:nsid w:val="4C9A0292"/>
    <w:multiLevelType w:val="hybridMultilevel"/>
    <w:tmpl w:val="95CC316C"/>
    <w:lvl w:ilvl="0" w:tplc="368273E0">
      <w:start w:val="1"/>
      <w:numFmt w:val="lowerRoman"/>
      <w:lvlText w:val="%1)"/>
      <w:lvlJc w:val="right"/>
      <w:pPr>
        <w:ind w:left="1020" w:hanging="360"/>
      </w:pPr>
    </w:lvl>
    <w:lvl w:ilvl="1" w:tplc="FD3A4FEE">
      <w:start w:val="1"/>
      <w:numFmt w:val="lowerRoman"/>
      <w:lvlText w:val="%2)"/>
      <w:lvlJc w:val="right"/>
      <w:pPr>
        <w:ind w:left="1020" w:hanging="360"/>
      </w:pPr>
    </w:lvl>
    <w:lvl w:ilvl="2" w:tplc="B2921E48">
      <w:start w:val="1"/>
      <w:numFmt w:val="lowerRoman"/>
      <w:lvlText w:val="%3)"/>
      <w:lvlJc w:val="right"/>
      <w:pPr>
        <w:ind w:left="1020" w:hanging="360"/>
      </w:pPr>
    </w:lvl>
    <w:lvl w:ilvl="3" w:tplc="3634F528">
      <w:start w:val="1"/>
      <w:numFmt w:val="lowerRoman"/>
      <w:lvlText w:val="%4)"/>
      <w:lvlJc w:val="right"/>
      <w:pPr>
        <w:ind w:left="1020" w:hanging="360"/>
      </w:pPr>
    </w:lvl>
    <w:lvl w:ilvl="4" w:tplc="9A785AB6">
      <w:start w:val="1"/>
      <w:numFmt w:val="lowerRoman"/>
      <w:lvlText w:val="%5)"/>
      <w:lvlJc w:val="right"/>
      <w:pPr>
        <w:ind w:left="1020" w:hanging="360"/>
      </w:pPr>
    </w:lvl>
    <w:lvl w:ilvl="5" w:tplc="510C8BDE">
      <w:start w:val="1"/>
      <w:numFmt w:val="lowerRoman"/>
      <w:lvlText w:val="%6)"/>
      <w:lvlJc w:val="right"/>
      <w:pPr>
        <w:ind w:left="1020" w:hanging="360"/>
      </w:pPr>
    </w:lvl>
    <w:lvl w:ilvl="6" w:tplc="4F0853A8">
      <w:start w:val="1"/>
      <w:numFmt w:val="lowerRoman"/>
      <w:lvlText w:val="%7)"/>
      <w:lvlJc w:val="right"/>
      <w:pPr>
        <w:ind w:left="1020" w:hanging="360"/>
      </w:pPr>
    </w:lvl>
    <w:lvl w:ilvl="7" w:tplc="C54805AE">
      <w:start w:val="1"/>
      <w:numFmt w:val="lowerRoman"/>
      <w:lvlText w:val="%8)"/>
      <w:lvlJc w:val="right"/>
      <w:pPr>
        <w:ind w:left="1020" w:hanging="360"/>
      </w:pPr>
    </w:lvl>
    <w:lvl w:ilvl="8" w:tplc="48FA2402">
      <w:start w:val="1"/>
      <w:numFmt w:val="lowerRoman"/>
      <w:lvlText w:val="%9)"/>
      <w:lvlJc w:val="right"/>
      <w:pPr>
        <w:ind w:left="1020" w:hanging="360"/>
      </w:pPr>
    </w:lvl>
  </w:abstractNum>
  <w:abstractNum w:abstractNumId="27" w15:restartNumberingAfterBreak="0">
    <w:nsid w:val="5B8430B9"/>
    <w:multiLevelType w:val="multilevel"/>
    <w:tmpl w:val="A140C264"/>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2"/>
        <w:u w:val="none"/>
        <w:effect w:val="none"/>
        <w:vertAlign w:val="baseline"/>
      </w:rPr>
    </w:lvl>
    <w:lvl w:ilvl="1">
      <w:start w:val="1"/>
      <w:numFmt w:val="decimal"/>
      <w:pStyle w:val="Agreement2"/>
      <w:isLgl/>
      <w:lvlText w:val="%1.%2"/>
      <w:lvlJc w:val="left"/>
      <w:pPr>
        <w:ind w:left="720" w:hanging="720"/>
      </w:pPr>
      <w:rPr>
        <w:rFonts w:ascii="Arial" w:hAnsi="Arial" w:cs="Arial" w:hint="default"/>
        <w:b/>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28" w15:restartNumberingAfterBreak="0">
    <w:nsid w:val="5E8E3112"/>
    <w:multiLevelType w:val="hybridMultilevel"/>
    <w:tmpl w:val="6A0CC932"/>
    <w:lvl w:ilvl="0" w:tplc="5150CAA6">
      <w:start w:val="1"/>
      <w:numFmt w:val="decimal"/>
      <w:lvlText w:val="%1)"/>
      <w:lvlJc w:val="left"/>
      <w:pPr>
        <w:ind w:left="1020" w:hanging="360"/>
      </w:pPr>
    </w:lvl>
    <w:lvl w:ilvl="1" w:tplc="EC288408">
      <w:start w:val="1"/>
      <w:numFmt w:val="decimal"/>
      <w:lvlText w:val="%2)"/>
      <w:lvlJc w:val="left"/>
      <w:pPr>
        <w:ind w:left="1020" w:hanging="360"/>
      </w:pPr>
    </w:lvl>
    <w:lvl w:ilvl="2" w:tplc="A5EA9798">
      <w:start w:val="1"/>
      <w:numFmt w:val="decimal"/>
      <w:lvlText w:val="%3)"/>
      <w:lvlJc w:val="left"/>
      <w:pPr>
        <w:ind w:left="1020" w:hanging="360"/>
      </w:pPr>
    </w:lvl>
    <w:lvl w:ilvl="3" w:tplc="233C32D8">
      <w:start w:val="1"/>
      <w:numFmt w:val="decimal"/>
      <w:lvlText w:val="%4)"/>
      <w:lvlJc w:val="left"/>
      <w:pPr>
        <w:ind w:left="1020" w:hanging="360"/>
      </w:pPr>
    </w:lvl>
    <w:lvl w:ilvl="4" w:tplc="F25EB36C">
      <w:start w:val="1"/>
      <w:numFmt w:val="decimal"/>
      <w:lvlText w:val="%5)"/>
      <w:lvlJc w:val="left"/>
      <w:pPr>
        <w:ind w:left="1020" w:hanging="360"/>
      </w:pPr>
    </w:lvl>
    <w:lvl w:ilvl="5" w:tplc="DB6A34F8">
      <w:start w:val="1"/>
      <w:numFmt w:val="decimal"/>
      <w:lvlText w:val="%6)"/>
      <w:lvlJc w:val="left"/>
      <w:pPr>
        <w:ind w:left="1020" w:hanging="360"/>
      </w:pPr>
    </w:lvl>
    <w:lvl w:ilvl="6" w:tplc="7C4E5776">
      <w:start w:val="1"/>
      <w:numFmt w:val="decimal"/>
      <w:lvlText w:val="%7)"/>
      <w:lvlJc w:val="left"/>
      <w:pPr>
        <w:ind w:left="1020" w:hanging="360"/>
      </w:pPr>
    </w:lvl>
    <w:lvl w:ilvl="7" w:tplc="DF3C96BC">
      <w:start w:val="1"/>
      <w:numFmt w:val="decimal"/>
      <w:lvlText w:val="%8)"/>
      <w:lvlJc w:val="left"/>
      <w:pPr>
        <w:ind w:left="1020" w:hanging="360"/>
      </w:pPr>
    </w:lvl>
    <w:lvl w:ilvl="8" w:tplc="4D564C16">
      <w:start w:val="1"/>
      <w:numFmt w:val="decimal"/>
      <w:lvlText w:val="%9)"/>
      <w:lvlJc w:val="left"/>
      <w:pPr>
        <w:ind w:left="1020" w:hanging="360"/>
      </w:pPr>
    </w:lvl>
  </w:abstractNum>
  <w:abstractNum w:abstractNumId="29" w15:restartNumberingAfterBreak="0">
    <w:nsid w:val="6D837CD6"/>
    <w:multiLevelType w:val="hybridMultilevel"/>
    <w:tmpl w:val="D88E7EA0"/>
    <w:lvl w:ilvl="0" w:tplc="19EA9F36">
      <w:numFmt w:val="bullet"/>
      <w:lvlText w:val=""/>
      <w:lvlJc w:val="left"/>
      <w:pPr>
        <w:ind w:left="2568" w:hanging="270"/>
      </w:pPr>
      <w:rPr>
        <w:rFonts w:ascii="Wingdings" w:eastAsia="Wingdings" w:hAnsi="Wingdings" w:cs="Wingdings" w:hint="default"/>
        <w:b w:val="0"/>
        <w:bCs w:val="0"/>
        <w:i w:val="0"/>
        <w:iCs w:val="0"/>
        <w:w w:val="100"/>
        <w:sz w:val="20"/>
        <w:szCs w:val="20"/>
        <w:lang w:val="en-US" w:eastAsia="en-US" w:bidi="ar-SA"/>
      </w:rPr>
    </w:lvl>
    <w:lvl w:ilvl="1" w:tplc="534863FE">
      <w:numFmt w:val="bullet"/>
      <w:lvlText w:val="•"/>
      <w:lvlJc w:val="left"/>
      <w:pPr>
        <w:ind w:left="3526" w:hanging="360"/>
      </w:pPr>
      <w:rPr>
        <w:rFonts w:ascii="Courier New" w:eastAsia="Courier New" w:hAnsi="Courier New" w:cs="Courier New" w:hint="default"/>
        <w:b w:val="0"/>
        <w:bCs w:val="0"/>
        <w:i w:val="0"/>
        <w:iCs w:val="0"/>
        <w:w w:val="100"/>
        <w:sz w:val="20"/>
        <w:szCs w:val="20"/>
        <w:lang w:val="en-US" w:eastAsia="en-US" w:bidi="ar-SA"/>
      </w:rPr>
    </w:lvl>
    <w:lvl w:ilvl="2" w:tplc="6E96D604">
      <w:numFmt w:val="bullet"/>
      <w:lvlText w:val="•"/>
      <w:lvlJc w:val="left"/>
      <w:pPr>
        <w:ind w:left="4373" w:hanging="360"/>
      </w:pPr>
      <w:rPr>
        <w:rFonts w:hint="default"/>
        <w:lang w:val="en-US" w:eastAsia="en-US" w:bidi="ar-SA"/>
      </w:rPr>
    </w:lvl>
    <w:lvl w:ilvl="3" w:tplc="E3F85408">
      <w:numFmt w:val="bullet"/>
      <w:lvlText w:val="•"/>
      <w:lvlJc w:val="left"/>
      <w:pPr>
        <w:ind w:left="5227" w:hanging="360"/>
      </w:pPr>
      <w:rPr>
        <w:rFonts w:hint="default"/>
        <w:lang w:val="en-US" w:eastAsia="en-US" w:bidi="ar-SA"/>
      </w:rPr>
    </w:lvl>
    <w:lvl w:ilvl="4" w:tplc="35881612">
      <w:numFmt w:val="bullet"/>
      <w:lvlText w:val="•"/>
      <w:lvlJc w:val="left"/>
      <w:pPr>
        <w:ind w:left="6081" w:hanging="360"/>
      </w:pPr>
      <w:rPr>
        <w:rFonts w:hint="default"/>
        <w:lang w:val="en-US" w:eastAsia="en-US" w:bidi="ar-SA"/>
      </w:rPr>
    </w:lvl>
    <w:lvl w:ilvl="5" w:tplc="250A72C2">
      <w:numFmt w:val="bullet"/>
      <w:lvlText w:val="•"/>
      <w:lvlJc w:val="left"/>
      <w:pPr>
        <w:ind w:left="6935" w:hanging="360"/>
      </w:pPr>
      <w:rPr>
        <w:rFonts w:hint="default"/>
        <w:lang w:val="en-US" w:eastAsia="en-US" w:bidi="ar-SA"/>
      </w:rPr>
    </w:lvl>
    <w:lvl w:ilvl="6" w:tplc="091E1734">
      <w:numFmt w:val="bullet"/>
      <w:lvlText w:val="•"/>
      <w:lvlJc w:val="left"/>
      <w:pPr>
        <w:ind w:left="7789" w:hanging="360"/>
      </w:pPr>
      <w:rPr>
        <w:rFonts w:hint="default"/>
        <w:lang w:val="en-US" w:eastAsia="en-US" w:bidi="ar-SA"/>
      </w:rPr>
    </w:lvl>
    <w:lvl w:ilvl="7" w:tplc="8A764DB2">
      <w:numFmt w:val="bullet"/>
      <w:lvlText w:val="•"/>
      <w:lvlJc w:val="left"/>
      <w:pPr>
        <w:ind w:left="8643" w:hanging="360"/>
      </w:pPr>
      <w:rPr>
        <w:rFonts w:hint="default"/>
        <w:lang w:val="en-US" w:eastAsia="en-US" w:bidi="ar-SA"/>
      </w:rPr>
    </w:lvl>
    <w:lvl w:ilvl="8" w:tplc="2C7259B8">
      <w:numFmt w:val="bullet"/>
      <w:lvlText w:val="•"/>
      <w:lvlJc w:val="left"/>
      <w:pPr>
        <w:ind w:left="9497" w:hanging="360"/>
      </w:pPr>
      <w:rPr>
        <w:rFonts w:hint="default"/>
        <w:lang w:val="en-US" w:eastAsia="en-US" w:bidi="ar-SA"/>
      </w:rPr>
    </w:lvl>
  </w:abstractNum>
  <w:abstractNum w:abstractNumId="30" w15:restartNumberingAfterBreak="0">
    <w:nsid w:val="736B2312"/>
    <w:multiLevelType w:val="hybridMultilevel"/>
    <w:tmpl w:val="3132D806"/>
    <w:lvl w:ilvl="0" w:tplc="3C2838CC">
      <w:numFmt w:val="bullet"/>
      <w:lvlText w:val=""/>
      <w:lvlJc w:val="left"/>
      <w:pPr>
        <w:ind w:left="434" w:hanging="399"/>
      </w:pPr>
      <w:rPr>
        <w:rFonts w:ascii="Wingdings" w:eastAsia="Wingdings" w:hAnsi="Wingdings" w:cs="Wingdings" w:hint="default"/>
        <w:b w:val="0"/>
        <w:bCs w:val="0"/>
        <w:i w:val="0"/>
        <w:iCs w:val="0"/>
        <w:w w:val="100"/>
        <w:position w:val="2"/>
        <w:sz w:val="20"/>
        <w:szCs w:val="20"/>
        <w:lang w:val="en-US" w:eastAsia="en-US" w:bidi="ar-SA"/>
      </w:rPr>
    </w:lvl>
    <w:lvl w:ilvl="1" w:tplc="5BB0E5D2">
      <w:numFmt w:val="bullet"/>
      <w:lvlText w:val="•"/>
      <w:lvlJc w:val="left"/>
      <w:pPr>
        <w:ind w:left="860" w:hanging="399"/>
      </w:pPr>
      <w:rPr>
        <w:rFonts w:hint="default"/>
        <w:lang w:val="en-US" w:eastAsia="en-US" w:bidi="ar-SA"/>
      </w:rPr>
    </w:lvl>
    <w:lvl w:ilvl="2" w:tplc="54A0DC4C">
      <w:numFmt w:val="bullet"/>
      <w:lvlText w:val="•"/>
      <w:lvlJc w:val="left"/>
      <w:pPr>
        <w:ind w:left="1280" w:hanging="399"/>
      </w:pPr>
      <w:rPr>
        <w:rFonts w:hint="default"/>
        <w:lang w:val="en-US" w:eastAsia="en-US" w:bidi="ar-SA"/>
      </w:rPr>
    </w:lvl>
    <w:lvl w:ilvl="3" w:tplc="FCB66C66">
      <w:numFmt w:val="bullet"/>
      <w:lvlText w:val="•"/>
      <w:lvlJc w:val="left"/>
      <w:pPr>
        <w:ind w:left="1700" w:hanging="399"/>
      </w:pPr>
      <w:rPr>
        <w:rFonts w:hint="default"/>
        <w:lang w:val="en-US" w:eastAsia="en-US" w:bidi="ar-SA"/>
      </w:rPr>
    </w:lvl>
    <w:lvl w:ilvl="4" w:tplc="EB08429C">
      <w:numFmt w:val="bullet"/>
      <w:lvlText w:val="•"/>
      <w:lvlJc w:val="left"/>
      <w:pPr>
        <w:ind w:left="2120" w:hanging="399"/>
      </w:pPr>
      <w:rPr>
        <w:rFonts w:hint="default"/>
        <w:lang w:val="en-US" w:eastAsia="en-US" w:bidi="ar-SA"/>
      </w:rPr>
    </w:lvl>
    <w:lvl w:ilvl="5" w:tplc="DA12912A">
      <w:numFmt w:val="bullet"/>
      <w:lvlText w:val="•"/>
      <w:lvlJc w:val="left"/>
      <w:pPr>
        <w:ind w:left="2541" w:hanging="399"/>
      </w:pPr>
      <w:rPr>
        <w:rFonts w:hint="default"/>
        <w:lang w:val="en-US" w:eastAsia="en-US" w:bidi="ar-SA"/>
      </w:rPr>
    </w:lvl>
    <w:lvl w:ilvl="6" w:tplc="873C71DA">
      <w:numFmt w:val="bullet"/>
      <w:lvlText w:val="•"/>
      <w:lvlJc w:val="left"/>
      <w:pPr>
        <w:ind w:left="2961" w:hanging="399"/>
      </w:pPr>
      <w:rPr>
        <w:rFonts w:hint="default"/>
        <w:lang w:val="en-US" w:eastAsia="en-US" w:bidi="ar-SA"/>
      </w:rPr>
    </w:lvl>
    <w:lvl w:ilvl="7" w:tplc="1806EFB8">
      <w:numFmt w:val="bullet"/>
      <w:lvlText w:val="•"/>
      <w:lvlJc w:val="left"/>
      <w:pPr>
        <w:ind w:left="3381" w:hanging="399"/>
      </w:pPr>
      <w:rPr>
        <w:rFonts w:hint="default"/>
        <w:lang w:val="en-US" w:eastAsia="en-US" w:bidi="ar-SA"/>
      </w:rPr>
    </w:lvl>
    <w:lvl w:ilvl="8" w:tplc="F85A27E4">
      <w:numFmt w:val="bullet"/>
      <w:lvlText w:val="•"/>
      <w:lvlJc w:val="left"/>
      <w:pPr>
        <w:ind w:left="3801" w:hanging="399"/>
      </w:pPr>
      <w:rPr>
        <w:rFonts w:hint="default"/>
        <w:lang w:val="en-US" w:eastAsia="en-US" w:bidi="ar-SA"/>
      </w:rPr>
    </w:lvl>
  </w:abstractNum>
  <w:abstractNum w:abstractNumId="31" w15:restartNumberingAfterBreak="0">
    <w:nsid w:val="78203FFA"/>
    <w:multiLevelType w:val="hybridMultilevel"/>
    <w:tmpl w:val="183E408E"/>
    <w:lvl w:ilvl="0" w:tplc="7FC40F2E">
      <w:numFmt w:val="bullet"/>
      <w:lvlText w:val="-"/>
      <w:lvlJc w:val="left"/>
      <w:pPr>
        <w:ind w:left="2921" w:hanging="175"/>
      </w:pPr>
      <w:rPr>
        <w:rFonts w:ascii="Arial" w:eastAsia="Arial" w:hAnsi="Arial" w:cs="Arial" w:hint="default"/>
        <w:b w:val="0"/>
        <w:bCs w:val="0"/>
        <w:i w:val="0"/>
        <w:iCs w:val="0"/>
        <w:color w:val="276753"/>
        <w:w w:val="100"/>
        <w:position w:val="4"/>
        <w:sz w:val="20"/>
        <w:szCs w:val="20"/>
        <w:lang w:val="en-US" w:eastAsia="en-US" w:bidi="ar-SA"/>
      </w:rPr>
    </w:lvl>
    <w:lvl w:ilvl="1" w:tplc="98CE93B6">
      <w:numFmt w:val="bullet"/>
      <w:lvlText w:val="•"/>
      <w:lvlJc w:val="left"/>
      <w:pPr>
        <w:ind w:left="3522" w:hanging="360"/>
      </w:pPr>
      <w:rPr>
        <w:rFonts w:ascii="Courier New" w:eastAsia="Courier New" w:hAnsi="Courier New" w:cs="Courier New" w:hint="default"/>
        <w:b w:val="0"/>
        <w:bCs w:val="0"/>
        <w:i w:val="0"/>
        <w:iCs w:val="0"/>
        <w:w w:val="100"/>
        <w:sz w:val="20"/>
        <w:szCs w:val="20"/>
        <w:lang w:val="en-US" w:eastAsia="en-US" w:bidi="ar-SA"/>
      </w:rPr>
    </w:lvl>
    <w:lvl w:ilvl="2" w:tplc="46966850">
      <w:numFmt w:val="bullet"/>
      <w:lvlText w:val="•"/>
      <w:lvlJc w:val="left"/>
      <w:pPr>
        <w:ind w:left="4373" w:hanging="360"/>
      </w:pPr>
      <w:rPr>
        <w:rFonts w:hint="default"/>
        <w:lang w:val="en-US" w:eastAsia="en-US" w:bidi="ar-SA"/>
      </w:rPr>
    </w:lvl>
    <w:lvl w:ilvl="3" w:tplc="23106DA6">
      <w:numFmt w:val="bullet"/>
      <w:lvlText w:val="•"/>
      <w:lvlJc w:val="left"/>
      <w:pPr>
        <w:ind w:left="5227" w:hanging="360"/>
      </w:pPr>
      <w:rPr>
        <w:rFonts w:hint="default"/>
        <w:lang w:val="en-US" w:eastAsia="en-US" w:bidi="ar-SA"/>
      </w:rPr>
    </w:lvl>
    <w:lvl w:ilvl="4" w:tplc="DDB032B6">
      <w:numFmt w:val="bullet"/>
      <w:lvlText w:val="•"/>
      <w:lvlJc w:val="left"/>
      <w:pPr>
        <w:ind w:left="6081" w:hanging="360"/>
      </w:pPr>
      <w:rPr>
        <w:rFonts w:hint="default"/>
        <w:lang w:val="en-US" w:eastAsia="en-US" w:bidi="ar-SA"/>
      </w:rPr>
    </w:lvl>
    <w:lvl w:ilvl="5" w:tplc="EDE4D73A">
      <w:numFmt w:val="bullet"/>
      <w:lvlText w:val="•"/>
      <w:lvlJc w:val="left"/>
      <w:pPr>
        <w:ind w:left="6935" w:hanging="360"/>
      </w:pPr>
      <w:rPr>
        <w:rFonts w:hint="default"/>
        <w:lang w:val="en-US" w:eastAsia="en-US" w:bidi="ar-SA"/>
      </w:rPr>
    </w:lvl>
    <w:lvl w:ilvl="6" w:tplc="871E05F0">
      <w:numFmt w:val="bullet"/>
      <w:lvlText w:val="•"/>
      <w:lvlJc w:val="left"/>
      <w:pPr>
        <w:ind w:left="7789" w:hanging="360"/>
      </w:pPr>
      <w:rPr>
        <w:rFonts w:hint="default"/>
        <w:lang w:val="en-US" w:eastAsia="en-US" w:bidi="ar-SA"/>
      </w:rPr>
    </w:lvl>
    <w:lvl w:ilvl="7" w:tplc="39F014FE">
      <w:numFmt w:val="bullet"/>
      <w:lvlText w:val="•"/>
      <w:lvlJc w:val="left"/>
      <w:pPr>
        <w:ind w:left="8643" w:hanging="360"/>
      </w:pPr>
      <w:rPr>
        <w:rFonts w:hint="default"/>
        <w:lang w:val="en-US" w:eastAsia="en-US" w:bidi="ar-SA"/>
      </w:rPr>
    </w:lvl>
    <w:lvl w:ilvl="8" w:tplc="BA2A6CF6">
      <w:numFmt w:val="bullet"/>
      <w:lvlText w:val="•"/>
      <w:lvlJc w:val="left"/>
      <w:pPr>
        <w:ind w:left="9497" w:hanging="360"/>
      </w:pPr>
      <w:rPr>
        <w:rFonts w:hint="default"/>
        <w:lang w:val="en-US" w:eastAsia="en-US" w:bidi="ar-SA"/>
      </w:rPr>
    </w:lvl>
  </w:abstractNum>
  <w:abstractNum w:abstractNumId="32" w15:restartNumberingAfterBreak="0">
    <w:nsid w:val="7A6E0F64"/>
    <w:multiLevelType w:val="hybridMultilevel"/>
    <w:tmpl w:val="445E3134"/>
    <w:lvl w:ilvl="0" w:tplc="BDFE5208">
      <w:start w:val="1"/>
      <w:numFmt w:val="lowerLetter"/>
      <w:lvlText w:val="(%1)"/>
      <w:lvlJc w:val="left"/>
      <w:pPr>
        <w:ind w:left="1932" w:hanging="708"/>
      </w:pPr>
      <w:rPr>
        <w:rFonts w:ascii="Arial" w:eastAsia="Arial" w:hAnsi="Arial" w:cs="Arial" w:hint="default"/>
        <w:b w:val="0"/>
        <w:bCs w:val="0"/>
        <w:i w:val="0"/>
        <w:iCs w:val="0"/>
        <w:spacing w:val="-1"/>
        <w:w w:val="100"/>
        <w:sz w:val="21"/>
        <w:szCs w:val="21"/>
        <w:lang w:val="en-US" w:eastAsia="en-US" w:bidi="ar-SA"/>
      </w:rPr>
    </w:lvl>
    <w:lvl w:ilvl="1" w:tplc="8D3E0D2C">
      <w:numFmt w:val="bullet"/>
      <w:lvlText w:val=""/>
      <w:lvlJc w:val="left"/>
      <w:pPr>
        <w:ind w:left="1944" w:hanging="361"/>
      </w:pPr>
      <w:rPr>
        <w:rFonts w:ascii="Symbol" w:eastAsia="Symbol" w:hAnsi="Symbol" w:cs="Symbol" w:hint="default"/>
        <w:b w:val="0"/>
        <w:bCs w:val="0"/>
        <w:i w:val="0"/>
        <w:iCs w:val="0"/>
        <w:w w:val="100"/>
        <w:sz w:val="21"/>
        <w:szCs w:val="21"/>
        <w:lang w:val="en-US" w:eastAsia="en-US" w:bidi="ar-SA"/>
      </w:rPr>
    </w:lvl>
    <w:lvl w:ilvl="2" w:tplc="D2D6F0F4">
      <w:numFmt w:val="bullet"/>
      <w:lvlText w:val="•"/>
      <w:lvlJc w:val="left"/>
      <w:pPr>
        <w:ind w:left="3520" w:hanging="360"/>
      </w:pPr>
      <w:rPr>
        <w:rFonts w:ascii="Courier New" w:eastAsia="Courier New" w:hAnsi="Courier New" w:cs="Courier New" w:hint="default"/>
        <w:b w:val="0"/>
        <w:bCs w:val="0"/>
        <w:i w:val="0"/>
        <w:iCs w:val="0"/>
        <w:w w:val="100"/>
        <w:sz w:val="20"/>
        <w:szCs w:val="20"/>
        <w:lang w:val="en-US" w:eastAsia="en-US" w:bidi="ar-SA"/>
      </w:rPr>
    </w:lvl>
    <w:lvl w:ilvl="3" w:tplc="67B86810">
      <w:numFmt w:val="bullet"/>
      <w:lvlText w:val="•"/>
      <w:lvlJc w:val="left"/>
      <w:pPr>
        <w:ind w:left="5227" w:hanging="360"/>
      </w:pPr>
      <w:rPr>
        <w:rFonts w:hint="default"/>
        <w:lang w:val="en-US" w:eastAsia="en-US" w:bidi="ar-SA"/>
      </w:rPr>
    </w:lvl>
    <w:lvl w:ilvl="4" w:tplc="A300E638">
      <w:numFmt w:val="bullet"/>
      <w:lvlText w:val="•"/>
      <w:lvlJc w:val="left"/>
      <w:pPr>
        <w:ind w:left="6081" w:hanging="360"/>
      </w:pPr>
      <w:rPr>
        <w:rFonts w:hint="default"/>
        <w:lang w:val="en-US" w:eastAsia="en-US" w:bidi="ar-SA"/>
      </w:rPr>
    </w:lvl>
    <w:lvl w:ilvl="5" w:tplc="A344EA18">
      <w:numFmt w:val="bullet"/>
      <w:lvlText w:val="•"/>
      <w:lvlJc w:val="left"/>
      <w:pPr>
        <w:ind w:left="6935" w:hanging="360"/>
      </w:pPr>
      <w:rPr>
        <w:rFonts w:hint="default"/>
        <w:lang w:val="en-US" w:eastAsia="en-US" w:bidi="ar-SA"/>
      </w:rPr>
    </w:lvl>
    <w:lvl w:ilvl="6" w:tplc="3C2A8EDC">
      <w:numFmt w:val="bullet"/>
      <w:lvlText w:val="•"/>
      <w:lvlJc w:val="left"/>
      <w:pPr>
        <w:ind w:left="7789" w:hanging="360"/>
      </w:pPr>
      <w:rPr>
        <w:rFonts w:hint="default"/>
        <w:lang w:val="en-US" w:eastAsia="en-US" w:bidi="ar-SA"/>
      </w:rPr>
    </w:lvl>
    <w:lvl w:ilvl="7" w:tplc="F13ADBD2">
      <w:numFmt w:val="bullet"/>
      <w:lvlText w:val="•"/>
      <w:lvlJc w:val="left"/>
      <w:pPr>
        <w:ind w:left="8643" w:hanging="360"/>
      </w:pPr>
      <w:rPr>
        <w:rFonts w:hint="default"/>
        <w:lang w:val="en-US" w:eastAsia="en-US" w:bidi="ar-SA"/>
      </w:rPr>
    </w:lvl>
    <w:lvl w:ilvl="8" w:tplc="C744FD1C">
      <w:numFmt w:val="bullet"/>
      <w:lvlText w:val="•"/>
      <w:lvlJc w:val="left"/>
      <w:pPr>
        <w:ind w:left="9497" w:hanging="360"/>
      </w:pPr>
      <w:rPr>
        <w:rFonts w:hint="default"/>
        <w:lang w:val="en-US" w:eastAsia="en-US" w:bidi="ar-SA"/>
      </w:rPr>
    </w:lvl>
  </w:abstractNum>
  <w:abstractNum w:abstractNumId="33" w15:restartNumberingAfterBreak="0">
    <w:nsid w:val="7B6B1AEB"/>
    <w:multiLevelType w:val="hybridMultilevel"/>
    <w:tmpl w:val="AC8AB018"/>
    <w:lvl w:ilvl="0" w:tplc="36CA512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514412628">
    <w:abstractNumId w:val="0"/>
  </w:num>
  <w:num w:numId="2" w16cid:durableId="1804543473">
    <w:abstractNumId w:val="17"/>
  </w:num>
  <w:num w:numId="3" w16cid:durableId="1819567468">
    <w:abstractNumId w:val="25"/>
  </w:num>
  <w:num w:numId="4" w16cid:durableId="1882746243">
    <w:abstractNumId w:val="22"/>
  </w:num>
  <w:num w:numId="5" w16cid:durableId="413478954">
    <w:abstractNumId w:val="29"/>
  </w:num>
  <w:num w:numId="6" w16cid:durableId="1759982948">
    <w:abstractNumId w:val="31"/>
  </w:num>
  <w:num w:numId="7" w16cid:durableId="1884361576">
    <w:abstractNumId w:val="30"/>
  </w:num>
  <w:num w:numId="8" w16cid:durableId="106122905">
    <w:abstractNumId w:val="15"/>
  </w:num>
  <w:num w:numId="9" w16cid:durableId="759453861">
    <w:abstractNumId w:val="20"/>
  </w:num>
  <w:num w:numId="10" w16cid:durableId="1390810773">
    <w:abstractNumId w:val="32"/>
  </w:num>
  <w:num w:numId="11" w16cid:durableId="1379890720">
    <w:abstractNumId w:val="18"/>
  </w:num>
  <w:num w:numId="12" w16cid:durableId="109131501">
    <w:abstractNumId w:val="19"/>
  </w:num>
  <w:num w:numId="13" w16cid:durableId="1425954137">
    <w:abstractNumId w:val="1"/>
  </w:num>
  <w:num w:numId="14" w16cid:durableId="2143230617">
    <w:abstractNumId w:val="26"/>
  </w:num>
  <w:num w:numId="15" w16cid:durableId="775053919">
    <w:abstractNumId w:val="16"/>
  </w:num>
  <w:num w:numId="16" w16cid:durableId="48766879">
    <w:abstractNumId w:val="2"/>
  </w:num>
  <w:num w:numId="17" w16cid:durableId="450562969">
    <w:abstractNumId w:val="24"/>
  </w:num>
  <w:num w:numId="18" w16cid:durableId="23099297">
    <w:abstractNumId w:val="6"/>
  </w:num>
  <w:num w:numId="19" w16cid:durableId="1851871095">
    <w:abstractNumId w:val="7"/>
  </w:num>
  <w:num w:numId="20" w16cid:durableId="442265043">
    <w:abstractNumId w:val="8"/>
  </w:num>
  <w:num w:numId="21" w16cid:durableId="1923174917">
    <w:abstractNumId w:val="9"/>
  </w:num>
  <w:num w:numId="22" w16cid:durableId="67895579">
    <w:abstractNumId w:val="10"/>
  </w:num>
  <w:num w:numId="23" w16cid:durableId="2140802896">
    <w:abstractNumId w:val="11"/>
  </w:num>
  <w:num w:numId="24" w16cid:durableId="7370082">
    <w:abstractNumId w:val="12"/>
  </w:num>
  <w:num w:numId="25" w16cid:durableId="1680161685">
    <w:abstractNumId w:val="13"/>
  </w:num>
  <w:num w:numId="26" w16cid:durableId="1990478721">
    <w:abstractNumId w:val="14"/>
  </w:num>
  <w:num w:numId="27" w16cid:durableId="344597840">
    <w:abstractNumId w:val="27"/>
  </w:num>
  <w:num w:numId="28" w16cid:durableId="2000579222">
    <w:abstractNumId w:val="21"/>
  </w:num>
  <w:num w:numId="29" w16cid:durableId="86922664">
    <w:abstractNumId w:val="23"/>
  </w:num>
  <w:num w:numId="30" w16cid:durableId="2073967868">
    <w:abstractNumId w:val="21"/>
  </w:num>
  <w:num w:numId="31" w16cid:durableId="1962606809">
    <w:abstractNumId w:val="3"/>
  </w:num>
  <w:num w:numId="32" w16cid:durableId="1059208719">
    <w:abstractNumId w:val="4"/>
  </w:num>
  <w:num w:numId="33" w16cid:durableId="1637225470">
    <w:abstractNumId w:val="5"/>
  </w:num>
  <w:num w:numId="34" w16cid:durableId="1414936776">
    <w:abstractNumId w:val="4"/>
    <w:lvlOverride w:ilvl="0">
      <w:lvl w:ilvl="0">
        <w:numFmt w:val="decimal"/>
        <w:lvlText w:val=""/>
        <w:lvlJc w:val="left"/>
      </w:lvl>
    </w:lvlOverride>
    <w:lvlOverride w:ilvl="1">
      <w:lvl w:ilvl="1">
        <w:start w:val="10"/>
        <w:numFmt w:val="decimal"/>
        <w:lvlText w:val=""/>
        <w:lvlJc w:val="left"/>
      </w:lvl>
    </w:lvlOverride>
  </w:num>
  <w:num w:numId="35" w16cid:durableId="735126304">
    <w:abstractNumId w:val="28"/>
  </w:num>
  <w:num w:numId="36" w16cid:durableId="1697847110">
    <w:abstractNumId w:val="28"/>
    <w:lvlOverride w:ilvl="0">
      <w:lvl w:ilvl="0" w:tplc="5150CAA6">
        <w:start w:val="1"/>
        <w:numFmt w:val="decimal"/>
        <w:lvlText w:val="%1)"/>
        <w:lvlJc w:val="left"/>
        <w:pPr>
          <w:ind w:left="1020" w:hanging="360"/>
        </w:pPr>
        <w:rPr>
          <w:color w:val="0000FF"/>
          <w:u w:val="single"/>
        </w:rPr>
      </w:lvl>
    </w:lvlOverride>
  </w:num>
  <w:num w:numId="37" w16cid:durableId="8281812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8E"/>
    <w:rsid w:val="00001FCA"/>
    <w:rsid w:val="00002CCB"/>
    <w:rsid w:val="00005A42"/>
    <w:rsid w:val="00007C8F"/>
    <w:rsid w:val="00012593"/>
    <w:rsid w:val="00015870"/>
    <w:rsid w:val="0002360A"/>
    <w:rsid w:val="00031637"/>
    <w:rsid w:val="00033D93"/>
    <w:rsid w:val="000406EF"/>
    <w:rsid w:val="00042BF2"/>
    <w:rsid w:val="00052F78"/>
    <w:rsid w:val="00054A3F"/>
    <w:rsid w:val="00055496"/>
    <w:rsid w:val="0005736F"/>
    <w:rsid w:val="000642B5"/>
    <w:rsid w:val="00070331"/>
    <w:rsid w:val="00074B18"/>
    <w:rsid w:val="000973F5"/>
    <w:rsid w:val="000A0C64"/>
    <w:rsid w:val="000A2222"/>
    <w:rsid w:val="000A7B18"/>
    <w:rsid w:val="000C2084"/>
    <w:rsid w:val="000C45EE"/>
    <w:rsid w:val="000C6AD3"/>
    <w:rsid w:val="000D0CD4"/>
    <w:rsid w:val="000D2496"/>
    <w:rsid w:val="000E74FD"/>
    <w:rsid w:val="000F604A"/>
    <w:rsid w:val="000F7D5B"/>
    <w:rsid w:val="00110F63"/>
    <w:rsid w:val="001163E2"/>
    <w:rsid w:val="0013334D"/>
    <w:rsid w:val="00133DE5"/>
    <w:rsid w:val="00163D42"/>
    <w:rsid w:val="00164C17"/>
    <w:rsid w:val="00172A99"/>
    <w:rsid w:val="00173EE9"/>
    <w:rsid w:val="001965C7"/>
    <w:rsid w:val="00196C70"/>
    <w:rsid w:val="001A5D42"/>
    <w:rsid w:val="001B459E"/>
    <w:rsid w:val="001B67A3"/>
    <w:rsid w:val="001C520B"/>
    <w:rsid w:val="001C5E94"/>
    <w:rsid w:val="001D2E4C"/>
    <w:rsid w:val="001D388D"/>
    <w:rsid w:val="001D5D8F"/>
    <w:rsid w:val="001E1B4E"/>
    <w:rsid w:val="001E369E"/>
    <w:rsid w:val="001E4748"/>
    <w:rsid w:val="001F6A7F"/>
    <w:rsid w:val="00211CF1"/>
    <w:rsid w:val="002234F1"/>
    <w:rsid w:val="002239FB"/>
    <w:rsid w:val="002435CB"/>
    <w:rsid w:val="00243706"/>
    <w:rsid w:val="00251A0E"/>
    <w:rsid w:val="00261678"/>
    <w:rsid w:val="00264D94"/>
    <w:rsid w:val="00270458"/>
    <w:rsid w:val="002733BE"/>
    <w:rsid w:val="00276F02"/>
    <w:rsid w:val="00285B34"/>
    <w:rsid w:val="0029446D"/>
    <w:rsid w:val="002A5A79"/>
    <w:rsid w:val="002B1D9C"/>
    <w:rsid w:val="002B6716"/>
    <w:rsid w:val="002D41E2"/>
    <w:rsid w:val="002D5D9A"/>
    <w:rsid w:val="002F594A"/>
    <w:rsid w:val="002F6B9A"/>
    <w:rsid w:val="002F7427"/>
    <w:rsid w:val="00312625"/>
    <w:rsid w:val="00314AD4"/>
    <w:rsid w:val="0032107B"/>
    <w:rsid w:val="0032240D"/>
    <w:rsid w:val="00323F10"/>
    <w:rsid w:val="00331DFB"/>
    <w:rsid w:val="003344B0"/>
    <w:rsid w:val="00342ED0"/>
    <w:rsid w:val="0034355A"/>
    <w:rsid w:val="00346123"/>
    <w:rsid w:val="00347847"/>
    <w:rsid w:val="00350425"/>
    <w:rsid w:val="00352156"/>
    <w:rsid w:val="00352CD3"/>
    <w:rsid w:val="00353BF0"/>
    <w:rsid w:val="003812F4"/>
    <w:rsid w:val="00382282"/>
    <w:rsid w:val="00385EC7"/>
    <w:rsid w:val="0039099A"/>
    <w:rsid w:val="00391186"/>
    <w:rsid w:val="003A0EB9"/>
    <w:rsid w:val="003A6927"/>
    <w:rsid w:val="003C4351"/>
    <w:rsid w:val="003C441C"/>
    <w:rsid w:val="003E0714"/>
    <w:rsid w:val="003E1665"/>
    <w:rsid w:val="003E57D9"/>
    <w:rsid w:val="003F4B30"/>
    <w:rsid w:val="003F5E29"/>
    <w:rsid w:val="0040216C"/>
    <w:rsid w:val="0040511C"/>
    <w:rsid w:val="00413E6C"/>
    <w:rsid w:val="00426661"/>
    <w:rsid w:val="00433E2B"/>
    <w:rsid w:val="00436511"/>
    <w:rsid w:val="00445C95"/>
    <w:rsid w:val="004515BC"/>
    <w:rsid w:val="004549A6"/>
    <w:rsid w:val="00456E75"/>
    <w:rsid w:val="00460ABB"/>
    <w:rsid w:val="00466DA6"/>
    <w:rsid w:val="00471A4A"/>
    <w:rsid w:val="0047531C"/>
    <w:rsid w:val="00495512"/>
    <w:rsid w:val="004C4E66"/>
    <w:rsid w:val="004C675F"/>
    <w:rsid w:val="004C75BB"/>
    <w:rsid w:val="004D20CE"/>
    <w:rsid w:val="004D5104"/>
    <w:rsid w:val="004D5820"/>
    <w:rsid w:val="004D6E5E"/>
    <w:rsid w:val="004E1231"/>
    <w:rsid w:val="004E5A37"/>
    <w:rsid w:val="004F0C7A"/>
    <w:rsid w:val="004F7424"/>
    <w:rsid w:val="005025E1"/>
    <w:rsid w:val="005029B9"/>
    <w:rsid w:val="00504631"/>
    <w:rsid w:val="00507F08"/>
    <w:rsid w:val="005164B9"/>
    <w:rsid w:val="00532BA3"/>
    <w:rsid w:val="0054052B"/>
    <w:rsid w:val="005418B7"/>
    <w:rsid w:val="005616B7"/>
    <w:rsid w:val="00567B52"/>
    <w:rsid w:val="005748C8"/>
    <w:rsid w:val="00580C41"/>
    <w:rsid w:val="00581821"/>
    <w:rsid w:val="005948EA"/>
    <w:rsid w:val="00594F91"/>
    <w:rsid w:val="005A2497"/>
    <w:rsid w:val="005C46F7"/>
    <w:rsid w:val="005C54C4"/>
    <w:rsid w:val="005D568E"/>
    <w:rsid w:val="005E3C74"/>
    <w:rsid w:val="005F145C"/>
    <w:rsid w:val="005F56AB"/>
    <w:rsid w:val="005F7893"/>
    <w:rsid w:val="005F798D"/>
    <w:rsid w:val="00615BE8"/>
    <w:rsid w:val="00616C03"/>
    <w:rsid w:val="00616F11"/>
    <w:rsid w:val="00617CAE"/>
    <w:rsid w:val="00620C95"/>
    <w:rsid w:val="006277AE"/>
    <w:rsid w:val="006302C7"/>
    <w:rsid w:val="006339FE"/>
    <w:rsid w:val="00635B63"/>
    <w:rsid w:val="00653D4F"/>
    <w:rsid w:val="00653D50"/>
    <w:rsid w:val="00654065"/>
    <w:rsid w:val="0065482F"/>
    <w:rsid w:val="00661C53"/>
    <w:rsid w:val="00662989"/>
    <w:rsid w:val="0066588E"/>
    <w:rsid w:val="0067287C"/>
    <w:rsid w:val="00676481"/>
    <w:rsid w:val="00684A51"/>
    <w:rsid w:val="00696A24"/>
    <w:rsid w:val="006A64FE"/>
    <w:rsid w:val="006B45CC"/>
    <w:rsid w:val="006D3A45"/>
    <w:rsid w:val="006D4924"/>
    <w:rsid w:val="006D54DF"/>
    <w:rsid w:val="006E6075"/>
    <w:rsid w:val="006E64AF"/>
    <w:rsid w:val="006F4D40"/>
    <w:rsid w:val="007000CE"/>
    <w:rsid w:val="00702BDB"/>
    <w:rsid w:val="007078EE"/>
    <w:rsid w:val="00707A4D"/>
    <w:rsid w:val="00722B7C"/>
    <w:rsid w:val="007268B2"/>
    <w:rsid w:val="00741794"/>
    <w:rsid w:val="007658D0"/>
    <w:rsid w:val="00772623"/>
    <w:rsid w:val="007745F5"/>
    <w:rsid w:val="0078071D"/>
    <w:rsid w:val="007834C8"/>
    <w:rsid w:val="00792042"/>
    <w:rsid w:val="00793B41"/>
    <w:rsid w:val="007B1475"/>
    <w:rsid w:val="007B7770"/>
    <w:rsid w:val="007C67B2"/>
    <w:rsid w:val="007D202F"/>
    <w:rsid w:val="007D21E8"/>
    <w:rsid w:val="007D6AF9"/>
    <w:rsid w:val="00806486"/>
    <w:rsid w:val="00810B04"/>
    <w:rsid w:val="0083045C"/>
    <w:rsid w:val="00832783"/>
    <w:rsid w:val="00853909"/>
    <w:rsid w:val="008732DB"/>
    <w:rsid w:val="00876410"/>
    <w:rsid w:val="00897CEB"/>
    <w:rsid w:val="008A6247"/>
    <w:rsid w:val="008B2A57"/>
    <w:rsid w:val="008B4740"/>
    <w:rsid w:val="008B6987"/>
    <w:rsid w:val="008C0D63"/>
    <w:rsid w:val="008C5AE0"/>
    <w:rsid w:val="008D131C"/>
    <w:rsid w:val="008D4433"/>
    <w:rsid w:val="008E22C9"/>
    <w:rsid w:val="008F1E47"/>
    <w:rsid w:val="008F41D7"/>
    <w:rsid w:val="00910EBF"/>
    <w:rsid w:val="00914629"/>
    <w:rsid w:val="009176E4"/>
    <w:rsid w:val="009439C8"/>
    <w:rsid w:val="0094551A"/>
    <w:rsid w:val="009602B7"/>
    <w:rsid w:val="009632EB"/>
    <w:rsid w:val="0096784F"/>
    <w:rsid w:val="009730F1"/>
    <w:rsid w:val="00974F03"/>
    <w:rsid w:val="00974F1E"/>
    <w:rsid w:val="0097794D"/>
    <w:rsid w:val="00996D77"/>
    <w:rsid w:val="009A69D9"/>
    <w:rsid w:val="009B663C"/>
    <w:rsid w:val="009C5D51"/>
    <w:rsid w:val="009C7BFE"/>
    <w:rsid w:val="009D1F95"/>
    <w:rsid w:val="009E2B74"/>
    <w:rsid w:val="00A062E2"/>
    <w:rsid w:val="00A101CD"/>
    <w:rsid w:val="00A14AA1"/>
    <w:rsid w:val="00A21602"/>
    <w:rsid w:val="00A23EB1"/>
    <w:rsid w:val="00A30966"/>
    <w:rsid w:val="00A33004"/>
    <w:rsid w:val="00A33467"/>
    <w:rsid w:val="00A371C9"/>
    <w:rsid w:val="00A37EC2"/>
    <w:rsid w:val="00A4367F"/>
    <w:rsid w:val="00A628F5"/>
    <w:rsid w:val="00A632CE"/>
    <w:rsid w:val="00A64649"/>
    <w:rsid w:val="00A6491C"/>
    <w:rsid w:val="00A64C0B"/>
    <w:rsid w:val="00A83066"/>
    <w:rsid w:val="00A86FE4"/>
    <w:rsid w:val="00A91D8F"/>
    <w:rsid w:val="00A938AE"/>
    <w:rsid w:val="00A960AA"/>
    <w:rsid w:val="00AA05DA"/>
    <w:rsid w:val="00AA18ED"/>
    <w:rsid w:val="00AA64A7"/>
    <w:rsid w:val="00AB2EAD"/>
    <w:rsid w:val="00AC3510"/>
    <w:rsid w:val="00AD1A3C"/>
    <w:rsid w:val="00AD74F3"/>
    <w:rsid w:val="00AE14F7"/>
    <w:rsid w:val="00AF24A1"/>
    <w:rsid w:val="00AF5512"/>
    <w:rsid w:val="00B10B10"/>
    <w:rsid w:val="00B124AD"/>
    <w:rsid w:val="00B13B65"/>
    <w:rsid w:val="00B23CF0"/>
    <w:rsid w:val="00B33DE0"/>
    <w:rsid w:val="00B34D16"/>
    <w:rsid w:val="00B35959"/>
    <w:rsid w:val="00B42322"/>
    <w:rsid w:val="00B43EC6"/>
    <w:rsid w:val="00B44A23"/>
    <w:rsid w:val="00B47F79"/>
    <w:rsid w:val="00B521FD"/>
    <w:rsid w:val="00B73D3E"/>
    <w:rsid w:val="00B80460"/>
    <w:rsid w:val="00B8061E"/>
    <w:rsid w:val="00B97D15"/>
    <w:rsid w:val="00BA2D9E"/>
    <w:rsid w:val="00BA5391"/>
    <w:rsid w:val="00BA76E9"/>
    <w:rsid w:val="00BB0FBA"/>
    <w:rsid w:val="00BB5465"/>
    <w:rsid w:val="00BC1B57"/>
    <w:rsid w:val="00BC2475"/>
    <w:rsid w:val="00BC497A"/>
    <w:rsid w:val="00BC6716"/>
    <w:rsid w:val="00BD05A2"/>
    <w:rsid w:val="00BD4C49"/>
    <w:rsid w:val="00BD5AFC"/>
    <w:rsid w:val="00BD6AD7"/>
    <w:rsid w:val="00BD74F5"/>
    <w:rsid w:val="00BD7669"/>
    <w:rsid w:val="00BE03AF"/>
    <w:rsid w:val="00BE1549"/>
    <w:rsid w:val="00BF11A6"/>
    <w:rsid w:val="00BF2C95"/>
    <w:rsid w:val="00BF77DC"/>
    <w:rsid w:val="00C00173"/>
    <w:rsid w:val="00C02661"/>
    <w:rsid w:val="00C02DCB"/>
    <w:rsid w:val="00C12352"/>
    <w:rsid w:val="00C27B2E"/>
    <w:rsid w:val="00C41F19"/>
    <w:rsid w:val="00C500CF"/>
    <w:rsid w:val="00C5030B"/>
    <w:rsid w:val="00C615AE"/>
    <w:rsid w:val="00C656DB"/>
    <w:rsid w:val="00C6590F"/>
    <w:rsid w:val="00C811BB"/>
    <w:rsid w:val="00C82FF4"/>
    <w:rsid w:val="00C84776"/>
    <w:rsid w:val="00C86074"/>
    <w:rsid w:val="00C90122"/>
    <w:rsid w:val="00C962AF"/>
    <w:rsid w:val="00CA2501"/>
    <w:rsid w:val="00CA6F58"/>
    <w:rsid w:val="00CC73A5"/>
    <w:rsid w:val="00CD0ED5"/>
    <w:rsid w:val="00CD474E"/>
    <w:rsid w:val="00CE2433"/>
    <w:rsid w:val="00CE399E"/>
    <w:rsid w:val="00CE6EF1"/>
    <w:rsid w:val="00CF1788"/>
    <w:rsid w:val="00D0048D"/>
    <w:rsid w:val="00D1380D"/>
    <w:rsid w:val="00D26B9D"/>
    <w:rsid w:val="00D30223"/>
    <w:rsid w:val="00D41882"/>
    <w:rsid w:val="00D5156B"/>
    <w:rsid w:val="00D646C0"/>
    <w:rsid w:val="00D66DA7"/>
    <w:rsid w:val="00D75468"/>
    <w:rsid w:val="00D83916"/>
    <w:rsid w:val="00D9621E"/>
    <w:rsid w:val="00DA0B7C"/>
    <w:rsid w:val="00DA0F70"/>
    <w:rsid w:val="00DB7EA5"/>
    <w:rsid w:val="00DC6BED"/>
    <w:rsid w:val="00DD1930"/>
    <w:rsid w:val="00DD4C15"/>
    <w:rsid w:val="00DD643D"/>
    <w:rsid w:val="00DD73F8"/>
    <w:rsid w:val="00DE13CA"/>
    <w:rsid w:val="00DE6982"/>
    <w:rsid w:val="00DF578C"/>
    <w:rsid w:val="00E21CC6"/>
    <w:rsid w:val="00E235AB"/>
    <w:rsid w:val="00E27C8E"/>
    <w:rsid w:val="00E43F5B"/>
    <w:rsid w:val="00E4661D"/>
    <w:rsid w:val="00E61DD7"/>
    <w:rsid w:val="00E64EE7"/>
    <w:rsid w:val="00E6571F"/>
    <w:rsid w:val="00E673F4"/>
    <w:rsid w:val="00E67E44"/>
    <w:rsid w:val="00E7419B"/>
    <w:rsid w:val="00E84B33"/>
    <w:rsid w:val="00E90426"/>
    <w:rsid w:val="00E90616"/>
    <w:rsid w:val="00E914E3"/>
    <w:rsid w:val="00EB016E"/>
    <w:rsid w:val="00EB1A4B"/>
    <w:rsid w:val="00EB48DF"/>
    <w:rsid w:val="00EC1CCE"/>
    <w:rsid w:val="00EC3129"/>
    <w:rsid w:val="00EC7295"/>
    <w:rsid w:val="00EF2CCA"/>
    <w:rsid w:val="00EF75AD"/>
    <w:rsid w:val="00EF7BCB"/>
    <w:rsid w:val="00F03A64"/>
    <w:rsid w:val="00F1147E"/>
    <w:rsid w:val="00F1304C"/>
    <w:rsid w:val="00F15EEA"/>
    <w:rsid w:val="00F17497"/>
    <w:rsid w:val="00F21CEA"/>
    <w:rsid w:val="00F3219D"/>
    <w:rsid w:val="00F32475"/>
    <w:rsid w:val="00F375D2"/>
    <w:rsid w:val="00F52A89"/>
    <w:rsid w:val="00F55835"/>
    <w:rsid w:val="00F55A3B"/>
    <w:rsid w:val="00F60399"/>
    <w:rsid w:val="00F607C9"/>
    <w:rsid w:val="00F6142B"/>
    <w:rsid w:val="00F65FA3"/>
    <w:rsid w:val="00F71FA2"/>
    <w:rsid w:val="00F90BC4"/>
    <w:rsid w:val="00F9434B"/>
    <w:rsid w:val="00FA28DE"/>
    <w:rsid w:val="00FA2F99"/>
    <w:rsid w:val="00FB026C"/>
    <w:rsid w:val="00FB2744"/>
    <w:rsid w:val="00FB4720"/>
    <w:rsid w:val="00FC3A4B"/>
    <w:rsid w:val="00FC7AD0"/>
    <w:rsid w:val="00FD66DB"/>
    <w:rsid w:val="00FE45D9"/>
    <w:rsid w:val="00FF13B4"/>
    <w:rsid w:val="00FF298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00CFF0D"/>
  <w15:docId w15:val="{4D810A60-49C2-4174-AD0B-6A851734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rPr>
  </w:style>
  <w:style w:type="paragraph" w:styleId="Heading1">
    <w:name w:val="heading 1"/>
    <w:basedOn w:val="Normal"/>
    <w:link w:val="Heading1Char"/>
    <w:uiPriority w:val="1"/>
    <w:qFormat/>
    <w:pPr>
      <w:spacing w:before="78"/>
      <w:ind w:left="1944" w:hanging="721"/>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Paragraph1" w:customStyle="1">
    <w:name w:val="TableParagraph_1"/>
    <w:uiPriority w:val="1"/>
    <w:qFormat/>
    <w:pPr>
      <w:spacing w:before="114"/>
      <w:ind w:left="110"/>
    </w:pPr>
    <w:rPr>
      <w:rFonts w:ascii="Arial" w:hAnsi="Arial" w:eastAsia="Arial" w:cs="Arial"/>
    </w:rPr>
  </w:style>
  <w:style w:type="character" w:styleId="BodyTextIndentChar" w:customStyle="1">
    <w:name w:val="Body Text Indent Char"/>
    <w:basedOn w:val="DefaultParagraphFont"/>
    <w:link w:val="BodyTextIndent"/>
    <w:uiPriority w:val="99"/>
    <w:semiHidden/>
    <w:rsid w:val="00653D4F"/>
    <w:rPr>
      <w:rFonts w:ascii="Arial" w:hAnsi="Arial" w:eastAsia="Arial" w:cs="Arial"/>
    </w:rPr>
  </w:style>
  <w:style w:type="paragraph" w:styleId="TableParagraph10" w:customStyle="1">
    <w:name w:val="TableParagraph_1_0"/>
    <w:uiPriority w:val="1"/>
    <w:qFormat/>
    <w:pPr>
      <w:spacing w:before="114"/>
      <w:ind w:left="110"/>
    </w:pPr>
    <w:rPr>
      <w:rFonts w:ascii="Arial" w:hAnsi="Arial" w:eastAsia="Arial" w:cs="Arial"/>
    </w:rPr>
  </w:style>
  <w:style w:type="character" w:styleId="Hyperlink">
    <w:name w:val="Hyperlink"/>
    <w:basedOn w:val="DefaultParagraphFont"/>
    <w:uiPriority w:val="99"/>
    <w:unhideWhenUsed/>
    <w:rsid w:val="00E235AB"/>
    <w:rPr>
      <w:color w:val="0000FF" w:themeColor="hyperlink"/>
      <w:u w:val="single"/>
    </w:rPr>
  </w:style>
  <w:style w:type="paragraph" w:styleId="ListParagraph">
    <w:name w:val="List Paragraph"/>
    <w:basedOn w:val="Normal"/>
    <w:uiPriority w:val="1"/>
    <w:qFormat/>
    <w:pPr>
      <w:ind w:left="1944" w:hanging="361"/>
    </w:pPr>
    <w:rPr>
      <w:rFonts w:ascii="Lucida Sans" w:hAnsi="Lucida Sans" w:eastAsia="Lucida Sans" w:cs="Lucida Sans"/>
    </w:rPr>
  </w:style>
  <w:style w:type="paragraph" w:styleId="BodyText1" w:customStyle="1">
    <w:name w:val="BodyText_1"/>
    <w:uiPriority w:val="1"/>
    <w:qFormat/>
    <w:rPr>
      <w:rFonts w:ascii="Arial" w:hAnsi="Arial" w:eastAsia="Arial" w:cs="Arial"/>
      <w:sz w:val="21"/>
      <w:szCs w:val="21"/>
    </w:rPr>
  </w:style>
  <w:style w:type="paragraph" w:styleId="Footer1" w:customStyle="1">
    <w:name w:val="Footer_1"/>
    <w:uiPriority w:val="99"/>
    <w:unhideWhenUsed/>
    <w:pPr>
      <w:tabs>
        <w:tab w:val="center" w:pos="4513"/>
        <w:tab w:val="right" w:pos="9026"/>
      </w:tabs>
    </w:pPr>
    <w:rPr>
      <w:rFonts w:ascii="Arial" w:hAnsi="Arial" w:eastAsia="Arial" w:cs="Arial"/>
    </w:rPr>
  </w:style>
  <w:style w:type="paragraph" w:styleId="BodyText10" w:customStyle="1">
    <w:name w:val="BodyText_1_0"/>
    <w:uiPriority w:val="1"/>
    <w:qFormat/>
    <w:rPr>
      <w:rFonts w:ascii="Arial" w:hAnsi="Arial" w:eastAsia="Arial" w:cs="Arial"/>
      <w:sz w:val="21"/>
      <w:szCs w:val="21"/>
    </w:rPr>
  </w:style>
  <w:style w:type="paragraph" w:styleId="Agreement2" w:customStyle="1">
    <w:name w:val="Agreement 2"/>
    <w:aliases w:val="A2"/>
    <w:basedOn w:val="Normal"/>
    <w:uiPriority w:val="19"/>
    <w:qFormat/>
    <w:rsid w:val="00653D4F"/>
    <w:pPr>
      <w:widowControl/>
      <w:numPr>
        <w:ilvl w:val="1"/>
        <w:numId w:val="27"/>
      </w:numPr>
      <w:autoSpaceDE/>
      <w:autoSpaceDN/>
      <w:spacing w:before="240" w:after="120"/>
      <w:jc w:val="both"/>
      <w:outlineLvl w:val="1"/>
    </w:pPr>
    <w:rPr>
      <w:rFonts w:eastAsia="Calibri" w:cs="Times New Roman"/>
      <w:sz w:val="21"/>
      <w:szCs w:val="21"/>
      <w:lang w:val="en-GB" w:eastAsia="en-IE"/>
    </w:rPr>
  </w:style>
  <w:style w:type="paragraph" w:styleId="BodyText100" w:customStyle="1">
    <w:name w:val="BodyText_1_0_0"/>
    <w:uiPriority w:val="1"/>
    <w:qFormat/>
    <w:rPr>
      <w:rFonts w:ascii="Arial" w:hAnsi="Arial" w:eastAsia="Arial" w:cs="Arial"/>
      <w:sz w:val="21"/>
      <w:szCs w:val="21"/>
    </w:rPr>
  </w:style>
  <w:style w:type="paragraph" w:styleId="BodyText">
    <w:name w:val="Body Text"/>
    <w:basedOn w:val="Normal"/>
    <w:link w:val="BodyTextChar"/>
    <w:uiPriority w:val="1"/>
    <w:qFormat/>
    <w:rPr>
      <w:sz w:val="21"/>
      <w:szCs w:val="21"/>
    </w:rPr>
  </w:style>
  <w:style w:type="paragraph" w:styleId="TableParagraph2" w:customStyle="1">
    <w:name w:val="TableParagraph_2"/>
    <w:uiPriority w:val="1"/>
    <w:qFormat/>
    <w:pPr>
      <w:spacing w:before="114"/>
      <w:ind w:left="110"/>
    </w:pPr>
    <w:rPr>
      <w:rFonts w:ascii="Arial" w:hAnsi="Arial" w:eastAsia="Arial" w:cs="Arial"/>
    </w:rPr>
  </w:style>
  <w:style w:type="paragraph" w:styleId="Title">
    <w:name w:val="Title"/>
    <w:basedOn w:val="Normal"/>
    <w:link w:val="TitleChar"/>
    <w:uiPriority w:val="1"/>
    <w:qFormat/>
    <w:pPr>
      <w:ind w:left="930" w:right="229"/>
      <w:jc w:val="center"/>
    </w:pPr>
    <w:rPr>
      <w:b/>
      <w:bCs/>
      <w:sz w:val="28"/>
      <w:szCs w:val="28"/>
    </w:rPr>
  </w:style>
  <w:style w:type="paragraph" w:styleId="MacPacTrailer" w:customStyle="1">
    <w:name w:val="MacPac Trailer"/>
    <w:rsid w:val="00D83916"/>
    <w:pPr>
      <w:autoSpaceDE/>
      <w:autoSpaceDN/>
      <w:spacing w:line="200" w:lineRule="exact"/>
    </w:pPr>
    <w:rPr>
      <w:rFonts w:ascii="Times New Roman" w:hAnsi="Times New Roman" w:eastAsia="Times New Roman" w:cs="Times New Roman"/>
      <w:sz w:val="16"/>
    </w:rPr>
  </w:style>
  <w:style w:type="paragraph" w:styleId="TableParagraph" w:customStyle="1">
    <w:name w:val="Table Paragraph"/>
    <w:basedOn w:val="Normal"/>
    <w:uiPriority w:val="1"/>
    <w:qFormat/>
    <w:pPr>
      <w:spacing w:before="114"/>
      <w:ind w:left="110"/>
    </w:pPr>
  </w:style>
  <w:style w:type="character" w:styleId="Hyperlink1" w:customStyle="1">
    <w:name w:val="Hyperlink_1"/>
    <w:uiPriority w:val="99"/>
    <w:unhideWhenUsed/>
    <w:rPr>
      <w:rFonts w:ascii="Arial" w:hAnsi="Arial" w:eastAsia="Arial" w:cs="Arial"/>
      <w:color w:val="0000FF" w:themeColor="hyperlink"/>
      <w:u w:val="single"/>
    </w:rPr>
  </w:style>
  <w:style w:type="paragraph" w:styleId="FootnoteText">
    <w:name w:val="footnote text"/>
    <w:basedOn w:val="Normal"/>
    <w:link w:val="FootnoteTextChar"/>
    <w:semiHidden/>
    <w:rsid w:val="00323F10"/>
    <w:pPr>
      <w:widowControl/>
      <w:autoSpaceDE/>
      <w:autoSpaceDN/>
      <w:jc w:val="both"/>
    </w:pPr>
    <w:rPr>
      <w:rFonts w:eastAsia="Times New Roman"/>
      <w:sz w:val="16"/>
      <w:szCs w:val="20"/>
      <w:lang w:val="en-GB"/>
    </w:rPr>
  </w:style>
  <w:style w:type="paragraph" w:styleId="Header">
    <w:name w:val="header"/>
    <w:basedOn w:val="Normal"/>
    <w:link w:val="HeaderChar"/>
    <w:uiPriority w:val="99"/>
    <w:unhideWhenUsed/>
    <w:rsid w:val="00B23CF0"/>
    <w:pPr>
      <w:tabs>
        <w:tab w:val="center" w:pos="4513"/>
        <w:tab w:val="right" w:pos="9026"/>
      </w:tabs>
    </w:pPr>
  </w:style>
  <w:style w:type="character" w:styleId="HeaderChar" w:customStyle="1">
    <w:name w:val="Header Char"/>
    <w:basedOn w:val="DefaultParagraphFont"/>
    <w:link w:val="Header"/>
    <w:uiPriority w:val="99"/>
    <w:rsid w:val="00B23CF0"/>
    <w:rPr>
      <w:rFonts w:ascii="Arial" w:hAnsi="Arial" w:eastAsia="Arial" w:cs="Arial"/>
    </w:rPr>
  </w:style>
  <w:style w:type="paragraph" w:styleId="Footer">
    <w:name w:val="footer"/>
    <w:basedOn w:val="Normal"/>
    <w:link w:val="FooterChar"/>
    <w:uiPriority w:val="99"/>
    <w:unhideWhenUsed/>
    <w:rsid w:val="00B23CF0"/>
    <w:pPr>
      <w:tabs>
        <w:tab w:val="center" w:pos="4513"/>
        <w:tab w:val="right" w:pos="9026"/>
      </w:tabs>
    </w:pPr>
  </w:style>
  <w:style w:type="character" w:styleId="FooterChar" w:customStyle="1">
    <w:name w:val="Footer Char"/>
    <w:basedOn w:val="DefaultParagraphFont"/>
    <w:link w:val="Footer"/>
    <w:uiPriority w:val="99"/>
    <w:rsid w:val="00B23CF0"/>
    <w:rPr>
      <w:rFonts w:ascii="Arial" w:hAnsi="Arial" w:eastAsia="Arial" w:cs="Arial"/>
    </w:rPr>
  </w:style>
  <w:style w:type="paragraph" w:styleId="Revision">
    <w:name w:val="Revision"/>
    <w:hidden/>
    <w:uiPriority w:val="99"/>
    <w:semiHidden/>
    <w:rsid w:val="00741794"/>
    <w:pPr>
      <w:widowControl/>
      <w:autoSpaceDE/>
      <w:autoSpaceDN/>
    </w:pPr>
    <w:rPr>
      <w:rFonts w:ascii="Arial" w:hAnsi="Arial" w:eastAsia="Arial" w:cs="Arial"/>
    </w:rPr>
  </w:style>
  <w:style w:type="character" w:styleId="PlaceholderText">
    <w:name w:val="Placeholder Text"/>
    <w:basedOn w:val="DefaultParagraphFont"/>
    <w:uiPriority w:val="99"/>
    <w:semiHidden/>
    <w:rsid w:val="00741794"/>
    <w:rPr>
      <w:color w:val="666666"/>
    </w:rPr>
  </w:style>
  <w:style w:type="character" w:styleId="CommentReference">
    <w:name w:val="annotation reference"/>
    <w:basedOn w:val="DefaultParagraphFont"/>
    <w:uiPriority w:val="99"/>
    <w:semiHidden/>
    <w:unhideWhenUsed/>
    <w:rsid w:val="003A0EB9"/>
    <w:rPr>
      <w:sz w:val="16"/>
      <w:szCs w:val="16"/>
    </w:rPr>
  </w:style>
  <w:style w:type="paragraph" w:styleId="CommentText">
    <w:name w:val="annotation text"/>
    <w:basedOn w:val="Normal"/>
    <w:link w:val="CommentTextChar"/>
    <w:uiPriority w:val="99"/>
    <w:unhideWhenUsed/>
    <w:rsid w:val="003A0EB9"/>
    <w:rPr>
      <w:sz w:val="20"/>
      <w:szCs w:val="20"/>
    </w:rPr>
  </w:style>
  <w:style w:type="paragraph" w:styleId="Header10" w:customStyle="1">
    <w:name w:val="Header_1_0"/>
    <w:uiPriority w:val="99"/>
    <w:unhideWhenUsed/>
    <w:pPr>
      <w:tabs>
        <w:tab w:val="center" w:pos="4513"/>
        <w:tab w:val="right" w:pos="9026"/>
      </w:tabs>
    </w:pPr>
    <w:rPr>
      <w:rFonts w:ascii="Arial" w:hAnsi="Arial" w:eastAsia="Arial" w:cs="Arial"/>
    </w:rPr>
  </w:style>
  <w:style w:type="paragraph" w:styleId="Header1" w:customStyle="1">
    <w:name w:val="Header_1"/>
    <w:uiPriority w:val="99"/>
    <w:unhideWhenUsed/>
    <w:pPr>
      <w:tabs>
        <w:tab w:val="center" w:pos="4513"/>
        <w:tab w:val="right" w:pos="9026"/>
      </w:tabs>
    </w:pPr>
    <w:rPr>
      <w:rFonts w:ascii="Arial" w:hAnsi="Arial" w:eastAsia="Arial" w:cs="Arial"/>
    </w:rPr>
  </w:style>
  <w:style w:type="character" w:styleId="CommentTextChar" w:customStyle="1">
    <w:name w:val="Comment Text Char"/>
    <w:basedOn w:val="DefaultParagraphFont"/>
    <w:link w:val="CommentText"/>
    <w:uiPriority w:val="99"/>
    <w:rsid w:val="003A0EB9"/>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3A0EB9"/>
    <w:rPr>
      <w:b/>
      <w:bCs/>
    </w:rPr>
  </w:style>
  <w:style w:type="character" w:styleId="CommentSubjectChar" w:customStyle="1">
    <w:name w:val="Comment Subject Char"/>
    <w:basedOn w:val="CommentTextChar"/>
    <w:link w:val="CommentSubject"/>
    <w:uiPriority w:val="99"/>
    <w:semiHidden/>
    <w:rsid w:val="003A0EB9"/>
    <w:rPr>
      <w:rFonts w:ascii="Arial" w:hAnsi="Arial" w:eastAsia="Arial" w:cs="Arial"/>
      <w:b/>
      <w:bCs/>
      <w:sz w:val="20"/>
      <w:szCs w:val="20"/>
    </w:rPr>
  </w:style>
  <w:style w:type="paragraph" w:styleId="Agreement1" w:customStyle="1">
    <w:name w:val="Agreement 1"/>
    <w:aliases w:val="A1"/>
    <w:basedOn w:val="Normal"/>
    <w:next w:val="BodyTextIndent"/>
    <w:uiPriority w:val="19"/>
    <w:qFormat/>
    <w:rsid w:val="00653D4F"/>
    <w:pPr>
      <w:keepNext/>
      <w:widowControl/>
      <w:numPr>
        <w:numId w:val="27"/>
      </w:numPr>
      <w:autoSpaceDE/>
      <w:autoSpaceDN/>
      <w:spacing w:before="240" w:after="120"/>
      <w:jc w:val="both"/>
      <w:outlineLvl w:val="0"/>
    </w:pPr>
    <w:rPr>
      <w:rFonts w:ascii="Arial Bold" w:hAnsi="Arial Bold" w:eastAsia="Calibri" w:cs="Times New Roman"/>
      <w:b/>
      <w:szCs w:val="21"/>
      <w:lang w:val="en-GB" w:eastAsia="en-IE"/>
    </w:rPr>
  </w:style>
  <w:style w:type="character" w:styleId="UnresolvedMention1" w:customStyle="1">
    <w:name w:val="Unresolved Mention1"/>
    <w:basedOn w:val="DefaultParagraphFont"/>
    <w:uiPriority w:val="99"/>
    <w:semiHidden/>
    <w:unhideWhenUsed/>
    <w:rsid w:val="00E235AB"/>
    <w:rPr>
      <w:color w:val="605E5C"/>
      <w:shd w:val="clear" w:color="auto" w:fill="E1DFDD"/>
    </w:rPr>
  </w:style>
  <w:style w:type="character" w:styleId="TitleChar" w:customStyle="1">
    <w:name w:val="Title Char"/>
    <w:basedOn w:val="DefaultParagraphFont"/>
    <w:link w:val="Title"/>
    <w:uiPriority w:val="1"/>
    <w:rsid w:val="00BB0FBA"/>
    <w:rPr>
      <w:rFonts w:ascii="Arial" w:hAnsi="Arial" w:eastAsia="Arial" w:cs="Arial"/>
      <w:b/>
      <w:bCs/>
      <w:sz w:val="28"/>
      <w:szCs w:val="28"/>
    </w:rPr>
  </w:style>
  <w:style w:type="paragraph" w:styleId="ListParagraph1" w:customStyle="1">
    <w:name w:val="ListParagraph_1"/>
    <w:uiPriority w:val="1"/>
    <w:qFormat/>
    <w:pPr>
      <w:ind w:left="1944" w:hanging="361"/>
    </w:pPr>
    <w:rPr>
      <w:rFonts w:ascii="Lucida Sans" w:hAnsi="Lucida Sans" w:eastAsia="Lucida Sans" w:cs="Lucida Sans"/>
    </w:rPr>
  </w:style>
  <w:style w:type="paragraph" w:styleId="BodyTextIndent">
    <w:name w:val="Body Text Indent"/>
    <w:basedOn w:val="Normal"/>
    <w:link w:val="BodyTextIndentChar"/>
    <w:uiPriority w:val="99"/>
    <w:semiHidden/>
    <w:unhideWhenUsed/>
    <w:rsid w:val="00653D4F"/>
    <w:pPr>
      <w:spacing w:after="120"/>
      <w:ind w:left="283"/>
    </w:pPr>
  </w:style>
  <w:style w:type="paragraph" w:styleId="Agreement3" w:customStyle="1">
    <w:name w:val="Agreement 3"/>
    <w:aliases w:val="A3"/>
    <w:basedOn w:val="Normal"/>
    <w:uiPriority w:val="19"/>
    <w:qFormat/>
    <w:rsid w:val="00653D4F"/>
    <w:pPr>
      <w:widowControl/>
      <w:numPr>
        <w:ilvl w:val="2"/>
        <w:numId w:val="27"/>
      </w:numPr>
      <w:autoSpaceDE/>
      <w:autoSpaceDN/>
      <w:spacing w:before="240" w:after="120"/>
      <w:jc w:val="both"/>
      <w:outlineLvl w:val="2"/>
    </w:pPr>
    <w:rPr>
      <w:rFonts w:eastAsia="Calibri" w:cs="Times New Roman"/>
      <w:sz w:val="21"/>
      <w:szCs w:val="21"/>
      <w:lang w:val="en-GB" w:eastAsia="en-IE"/>
    </w:rPr>
  </w:style>
  <w:style w:type="paragraph" w:styleId="Agreement4" w:customStyle="1">
    <w:name w:val="Agreement 4"/>
    <w:aliases w:val="A4"/>
    <w:basedOn w:val="Normal"/>
    <w:uiPriority w:val="19"/>
    <w:qFormat/>
    <w:rsid w:val="00653D4F"/>
    <w:pPr>
      <w:widowControl/>
      <w:numPr>
        <w:ilvl w:val="3"/>
        <w:numId w:val="27"/>
      </w:numPr>
      <w:autoSpaceDE/>
      <w:autoSpaceDN/>
      <w:spacing w:before="240" w:after="120"/>
      <w:jc w:val="both"/>
      <w:outlineLvl w:val="3"/>
    </w:pPr>
    <w:rPr>
      <w:rFonts w:eastAsia="Calibri" w:cs="Times New Roman"/>
      <w:sz w:val="21"/>
      <w:szCs w:val="21"/>
      <w:lang w:val="en-GB" w:eastAsia="en-IE"/>
    </w:rPr>
  </w:style>
  <w:style w:type="character" w:styleId="UnresolvedMention2" w:customStyle="1">
    <w:name w:val="Unresolved Mention2"/>
    <w:basedOn w:val="DefaultParagraphFont"/>
    <w:uiPriority w:val="99"/>
    <w:rsid w:val="00460ABB"/>
    <w:rPr>
      <w:color w:val="605E5C"/>
      <w:shd w:val="clear" w:color="auto" w:fill="E1DFDD"/>
    </w:rPr>
  </w:style>
  <w:style w:type="paragraph" w:styleId="Agreement5" w:customStyle="1">
    <w:name w:val="Agreement 5"/>
    <w:aliases w:val="A5"/>
    <w:basedOn w:val="Normal"/>
    <w:uiPriority w:val="19"/>
    <w:qFormat/>
    <w:rsid w:val="00653D4F"/>
    <w:pPr>
      <w:widowControl/>
      <w:numPr>
        <w:ilvl w:val="4"/>
        <w:numId w:val="27"/>
      </w:numPr>
      <w:autoSpaceDE/>
      <w:autoSpaceDN/>
      <w:spacing w:before="240" w:after="120"/>
      <w:jc w:val="both"/>
      <w:outlineLvl w:val="4"/>
    </w:pPr>
    <w:rPr>
      <w:rFonts w:eastAsia="Calibri" w:cs="Times New Roman"/>
      <w:sz w:val="21"/>
      <w:szCs w:val="21"/>
      <w:lang w:val="en-GB" w:eastAsia="en-IE"/>
    </w:rPr>
  </w:style>
  <w:style w:type="character" w:styleId="FootnoteReference">
    <w:name w:val="footnote reference"/>
    <w:basedOn w:val="DefaultParagraphFont"/>
    <w:semiHidden/>
    <w:rsid w:val="00323F10"/>
    <w:rPr>
      <w:rFonts w:ascii="Times New Roman" w:hAnsi="Times New Roman"/>
      <w:sz w:val="20"/>
      <w:vertAlign w:val="superscript"/>
    </w:rPr>
  </w:style>
  <w:style w:type="character" w:styleId="FootnoteTextChar" w:customStyle="1">
    <w:name w:val="Footnote Text Char"/>
    <w:basedOn w:val="DefaultParagraphFont"/>
    <w:link w:val="FootnoteText"/>
    <w:semiHidden/>
    <w:rsid w:val="00323F10"/>
    <w:rPr>
      <w:rFonts w:ascii="Arial" w:hAnsi="Arial" w:eastAsia="Times New Roman" w:cs="Arial"/>
      <w:sz w:val="16"/>
      <w:szCs w:val="20"/>
      <w:lang w:val="en-GB"/>
    </w:rPr>
  </w:style>
  <w:style w:type="character" w:styleId="Heading1Char" w:customStyle="1">
    <w:name w:val="Heading 1 Char"/>
    <w:basedOn w:val="DefaultParagraphFont"/>
    <w:link w:val="Heading1"/>
    <w:uiPriority w:val="1"/>
    <w:rsid w:val="00507F08"/>
    <w:rPr>
      <w:rFonts w:ascii="Arial" w:hAnsi="Arial" w:eastAsia="Arial" w:cs="Arial"/>
      <w:b/>
      <w:bCs/>
    </w:rPr>
  </w:style>
  <w:style w:type="character" w:styleId="BodyTextChar" w:customStyle="1">
    <w:name w:val="Body Text Char"/>
    <w:basedOn w:val="DefaultParagraphFont"/>
    <w:link w:val="BodyText"/>
    <w:uiPriority w:val="1"/>
    <w:rsid w:val="00BB0FBA"/>
    <w:rPr>
      <w:rFonts w:ascii="Arial" w:hAnsi="Arial" w:eastAsia="Arial" w:cs="Arial"/>
      <w:sz w:val="21"/>
      <w:szCs w:val="21"/>
    </w:rPr>
  </w:style>
  <w:style w:type="table" w:styleId="TableGrid">
    <w:name w:val="Table Grid"/>
    <w:basedOn w:val="TableNormal"/>
    <w:uiPriority w:val="39"/>
    <w:rsid w:val="00F90B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11" w:customStyle="1">
    <w:name w:val="Heading1_1"/>
    <w:uiPriority w:val="1"/>
    <w:qFormat/>
    <w:pPr>
      <w:spacing w:before="78"/>
      <w:ind w:left="1944" w:hanging="721"/>
      <w:outlineLvl w:val="0"/>
    </w:pPr>
    <w:rPr>
      <w:rFonts w:ascii="Arial" w:hAnsi="Arial" w:eastAsia="Arial" w:cs="Arial"/>
      <w:b/>
      <w:bCs/>
    </w:rPr>
  </w:style>
  <w:style w:type="paragraph" w:styleId="Footer10" w:customStyle="1">
    <w:name w:val="Footer_1_0"/>
    <w:uiPriority w:val="99"/>
    <w:unhideWhenUsed/>
    <w:pPr>
      <w:tabs>
        <w:tab w:val="center" w:pos="4513"/>
        <w:tab w:val="right" w:pos="9026"/>
      </w:tabs>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5C2F0CEEEA64786C6E0264CEFEA51" ma:contentTypeVersion="10" ma:contentTypeDescription="Create a new document." ma:contentTypeScope="" ma:versionID="bb7922d450f7204f46560d635ec70019">
  <xsd:schema xmlns:xsd="http://www.w3.org/2001/XMLSchema" xmlns:xs="http://www.w3.org/2001/XMLSchema" xmlns:p="http://schemas.microsoft.com/office/2006/metadata/properties" xmlns:ns2="d2cee125-8825-4e5f-80e0-5eab9f84b715" xmlns:ns3="c400a2b8-73bf-4fc8-be72-afef242868e4" targetNamespace="http://schemas.microsoft.com/office/2006/metadata/properties" ma:root="true" ma:fieldsID="8f815c4d809ae651f75db7330983b0d7" ns2:_="" ns3:_="">
    <xsd:import namespace="d2cee125-8825-4e5f-80e0-5eab9f84b715"/>
    <xsd:import namespace="c400a2b8-73bf-4fc8-be72-afef242868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ee125-8825-4e5f-80e0-5eab9f84b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a6c5f1-afbd-42b3-a17d-d4459a8537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0a2b8-73bf-4fc8-be72-afef242868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62bf4f-6fca-43d6-96e4-cfadb157a739}" ma:internalName="TaxCatchAll" ma:showField="CatchAllData" ma:web="c400a2b8-73bf-4fc8-be72-afef24286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cee125-8825-4e5f-80e0-5eab9f84b715">
      <Terms xmlns="http://schemas.microsoft.com/office/infopath/2007/PartnerControls"/>
    </lcf76f155ced4ddcb4097134ff3c332f>
    <TaxCatchAll xmlns="c400a2b8-73bf-4fc8-be72-afef242868e4" xsi:nil="true"/>
  </documentManagement>
</p:properties>
</file>

<file path=customXml/itemProps1.xml><?xml version="1.0" encoding="utf-8"?>
<ds:datastoreItem xmlns:ds="http://schemas.openxmlformats.org/officeDocument/2006/customXml" ds:itemID="{CADB2F21-0B80-4922-A3D5-6409298F5451}"/>
</file>

<file path=customXml/itemProps2.xml><?xml version="1.0" encoding="utf-8"?>
<ds:datastoreItem xmlns:ds="http://schemas.openxmlformats.org/officeDocument/2006/customXml" ds:itemID="{EDA61029-65FF-4C06-BEF9-C1BB3F070468}"/>
</file>

<file path=customXml/itemProps3.xml><?xml version="1.0" encoding="utf-8"?>
<ds:datastoreItem xmlns:ds="http://schemas.openxmlformats.org/officeDocument/2006/customXml" ds:itemID="{2AA73174-FCEB-49CA-B2A8-C9D780A262A1}"/>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1900-01-01T00:00:00Z</dcterms:created>
  <dcterms:modified xsi:type="dcterms:W3CDTF">1900-01-01T00:00:00Z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3ca9ef-1496-417f-9285-25b5037985b9_ActionId">
    <vt:lpwstr>19c86c84-67fc-45a6-a415-6178e7c6c057</vt:lpwstr>
  </property>
  <property fmtid="{D5CDD505-2E9C-101B-9397-08002B2CF9AE}" pid="3" name="MSIP_Label_da3ca9ef-1496-417f-9285-25b5037985b9_ContentBits">
    <vt:lpwstr>2</vt:lpwstr>
  </property>
  <property fmtid="{D5CDD505-2E9C-101B-9397-08002B2CF9AE}" pid="4" name="MSIP_Label_da3ca9ef-1496-417f-9285-25b5037985b9_Enabled">
    <vt:lpwstr>true</vt:lpwstr>
  </property>
  <property fmtid="{D5CDD505-2E9C-101B-9397-08002B2CF9AE}" pid="5" name="MSIP_Label_da3ca9ef-1496-417f-9285-25b5037985b9_Method">
    <vt:lpwstr>Standard</vt:lpwstr>
  </property>
  <property fmtid="{D5CDD505-2E9C-101B-9397-08002B2CF9AE}" pid="6" name="MSIP_Label_da3ca9ef-1496-417f-9285-25b5037985b9_Name">
    <vt:lpwstr>Non-Sensitive Business Use - Footer</vt:lpwstr>
  </property>
  <property fmtid="{D5CDD505-2E9C-101B-9397-08002B2CF9AE}" pid="7" name="MSIP_Label_da3ca9ef-1496-417f-9285-25b5037985b9_SetDate">
    <vt:lpwstr>2020-12-30T19:41:21Z</vt:lpwstr>
  </property>
  <property fmtid="{D5CDD505-2E9C-101B-9397-08002B2CF9AE}" pid="8" name="MSIP_Label_da3ca9ef-1496-417f-9285-25b5037985b9_SiteId">
    <vt:lpwstr>2434528d-4270-4977-81dd-a6308c1761a3</vt:lpwstr>
  </property>
  <property fmtid="{D5CDD505-2E9C-101B-9397-08002B2CF9AE}" pid="9" name="ContentTypeId">
    <vt:lpwstr>0x0101000775C2F0CEEEA64786C6E0264CEFEA51</vt:lpwstr>
  </property>
</Properties>
</file>